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EBFDD" w14:textId="77777777" w:rsidR="00FE1A44" w:rsidRPr="00A74F66" w:rsidRDefault="00FE1A44" w:rsidP="0077727E">
      <w:pPr>
        <w:jc w:val="center"/>
        <w:rPr>
          <w:rFonts w:ascii="Century Gothic" w:hAnsi="Century Gothic" w:cs="Arial"/>
          <w:b/>
          <w:color w:val="000000" w:themeColor="text1"/>
          <w:sz w:val="21"/>
          <w:szCs w:val="21"/>
        </w:rPr>
      </w:pPr>
    </w:p>
    <w:p w14:paraId="3146EDED" w14:textId="77777777" w:rsidR="00B81B1F" w:rsidRPr="00A74F66" w:rsidRDefault="00B81B1F" w:rsidP="007C702A">
      <w:pPr>
        <w:rPr>
          <w:rFonts w:ascii="Century Gothic" w:hAnsi="Century Gothic" w:cs="Arial"/>
          <w:color w:val="000000" w:themeColor="text1"/>
          <w:sz w:val="21"/>
          <w:szCs w:val="21"/>
          <w:lang w:val="es-ES_tradnl" w:eastAsia="es-CO"/>
        </w:rPr>
      </w:pPr>
    </w:p>
    <w:p w14:paraId="09226901" w14:textId="77777777" w:rsidR="0058222E" w:rsidRPr="00A74F66" w:rsidRDefault="0058222E" w:rsidP="007C702A">
      <w:pPr>
        <w:rPr>
          <w:rFonts w:ascii="Century Gothic" w:hAnsi="Century Gothic" w:cs="Arial"/>
          <w:color w:val="000000" w:themeColor="text1"/>
          <w:sz w:val="21"/>
          <w:szCs w:val="21"/>
          <w:lang w:val="es-ES_tradnl" w:eastAsia="es-CO"/>
        </w:rPr>
      </w:pPr>
    </w:p>
    <w:p w14:paraId="0822FEEB" w14:textId="5A00D6E2" w:rsidR="00D70D7B" w:rsidRPr="00A74F66" w:rsidRDefault="00D70D7B" w:rsidP="187604FC">
      <w:pPr>
        <w:rPr>
          <w:rFonts w:ascii="Century Gothic" w:hAnsi="Century Gothic" w:cs="Arial"/>
          <w:color w:val="000000" w:themeColor="text1"/>
          <w:sz w:val="21"/>
          <w:szCs w:val="21"/>
          <w:lang w:val="es-ES" w:eastAsia="es-CO"/>
        </w:rPr>
      </w:pPr>
      <w:r w:rsidRPr="00A74F66">
        <w:rPr>
          <w:rFonts w:ascii="Century Gothic" w:hAnsi="Century Gothic" w:cs="Arial"/>
          <w:color w:val="000000" w:themeColor="text1"/>
          <w:sz w:val="21"/>
          <w:szCs w:val="21"/>
          <w:lang w:val="es-ES" w:eastAsia="es-CO"/>
        </w:rPr>
        <w:t xml:space="preserve">Para el presente </w:t>
      </w:r>
      <w:r w:rsidR="00C61BDB" w:rsidRPr="00A74F66">
        <w:rPr>
          <w:rFonts w:ascii="Century Gothic" w:hAnsi="Century Gothic" w:cs="Arial"/>
          <w:color w:val="000000" w:themeColor="text1"/>
          <w:sz w:val="21"/>
          <w:szCs w:val="21"/>
          <w:lang w:val="es-ES" w:eastAsia="es-CO"/>
        </w:rPr>
        <w:t xml:space="preserve">procedimiento </w:t>
      </w:r>
      <w:r w:rsidRPr="00A74F66">
        <w:rPr>
          <w:rFonts w:ascii="Century Gothic" w:hAnsi="Century Gothic" w:cs="Arial"/>
          <w:color w:val="000000" w:themeColor="text1"/>
          <w:sz w:val="21"/>
          <w:szCs w:val="21"/>
          <w:lang w:val="es-ES" w:eastAsia="es-CO"/>
        </w:rPr>
        <w:t xml:space="preserve">contractual, en atención </w:t>
      </w:r>
      <w:r w:rsidR="00B81B1F" w:rsidRPr="00A74F66">
        <w:rPr>
          <w:rFonts w:ascii="Century Gothic" w:hAnsi="Century Gothic" w:cs="Arial"/>
          <w:color w:val="000000" w:themeColor="text1"/>
          <w:sz w:val="21"/>
          <w:szCs w:val="21"/>
          <w:lang w:val="es-ES" w:eastAsia="es-CO"/>
        </w:rPr>
        <w:t>a la</w:t>
      </w:r>
      <w:r w:rsidRPr="00A74F66">
        <w:rPr>
          <w:rFonts w:ascii="Century Gothic" w:hAnsi="Century Gothic" w:cs="Arial"/>
          <w:color w:val="000000" w:themeColor="text1"/>
          <w:sz w:val="21"/>
          <w:szCs w:val="21"/>
          <w:lang w:val="es-ES" w:eastAsia="es-CO"/>
        </w:rPr>
        <w:t xml:space="preserve"> Ley 1150 de 2007 y los artículos 2.2.1.1.1.3.1 y 2.2.1.1.1.6.</w:t>
      </w:r>
      <w:r w:rsidR="00B81B1F" w:rsidRPr="00A74F66">
        <w:rPr>
          <w:rFonts w:ascii="Century Gothic" w:hAnsi="Century Gothic" w:cs="Arial"/>
          <w:color w:val="000000" w:themeColor="text1"/>
          <w:sz w:val="21"/>
          <w:szCs w:val="21"/>
          <w:lang w:val="es-ES" w:eastAsia="es-CO"/>
        </w:rPr>
        <w:t>3. del</w:t>
      </w:r>
      <w:r w:rsidRPr="00A74F66">
        <w:rPr>
          <w:rFonts w:ascii="Century Gothic" w:hAnsi="Century Gothic" w:cs="Arial"/>
          <w:color w:val="000000" w:themeColor="text1"/>
          <w:sz w:val="21"/>
          <w:szCs w:val="21"/>
          <w:lang w:val="es-ES" w:eastAsia="es-CO"/>
        </w:rPr>
        <w:t xml:space="preserve"> Decreto </w:t>
      </w:r>
      <w:r w:rsidR="00B81B1F" w:rsidRPr="00A74F66">
        <w:rPr>
          <w:rFonts w:ascii="Century Gothic" w:hAnsi="Century Gothic" w:cs="Arial"/>
          <w:color w:val="000000" w:themeColor="text1"/>
          <w:sz w:val="21"/>
          <w:szCs w:val="21"/>
          <w:lang w:val="es-ES" w:eastAsia="es-CO"/>
        </w:rPr>
        <w:t>1082 de</w:t>
      </w:r>
      <w:r w:rsidR="006E6D9B" w:rsidRPr="00A74F66">
        <w:rPr>
          <w:rFonts w:ascii="Century Gothic" w:hAnsi="Century Gothic" w:cs="Arial"/>
          <w:color w:val="000000" w:themeColor="text1"/>
          <w:sz w:val="21"/>
          <w:szCs w:val="21"/>
          <w:lang w:val="es-ES" w:eastAsia="es-CO"/>
        </w:rPr>
        <w:t xml:space="preserve"> 2015, entiéndase por </w:t>
      </w:r>
      <w:r w:rsidR="00624AC2" w:rsidRPr="00A74F66">
        <w:rPr>
          <w:rFonts w:ascii="Century Gothic" w:hAnsi="Century Gothic" w:cs="Arial"/>
          <w:color w:val="000000" w:themeColor="text1"/>
          <w:sz w:val="21"/>
          <w:szCs w:val="21"/>
          <w:lang w:val="es-ES" w:eastAsia="es-CO"/>
        </w:rPr>
        <w:t>r</w:t>
      </w:r>
      <w:r w:rsidRPr="00A74F66">
        <w:rPr>
          <w:rFonts w:ascii="Century Gothic" w:hAnsi="Century Gothic" w:cs="Arial"/>
          <w:color w:val="000000" w:themeColor="text1"/>
          <w:sz w:val="21"/>
          <w:szCs w:val="21"/>
          <w:lang w:val="es-ES" w:eastAsia="es-CO"/>
        </w:rPr>
        <w:t>iesgo</w:t>
      </w:r>
      <w:r w:rsidR="006E6D9B" w:rsidRPr="00A74F66">
        <w:rPr>
          <w:rFonts w:ascii="Century Gothic" w:hAnsi="Century Gothic" w:cs="Arial"/>
          <w:color w:val="000000" w:themeColor="text1"/>
          <w:sz w:val="21"/>
          <w:szCs w:val="21"/>
          <w:lang w:val="es-ES" w:eastAsia="es-CO"/>
        </w:rPr>
        <w:t xml:space="preserve"> </w:t>
      </w:r>
      <w:r w:rsidRPr="00A74F66">
        <w:rPr>
          <w:rFonts w:ascii="Century Gothic" w:hAnsi="Century Gothic" w:cs="Arial"/>
          <w:color w:val="000000" w:themeColor="text1"/>
          <w:sz w:val="21"/>
          <w:szCs w:val="21"/>
          <w:lang w:val="es-ES" w:eastAsia="es-CO"/>
        </w:rPr>
        <w:t xml:space="preserve">la probabilidad de ocurrencia de eventos aleatorios que afecten el desarrollo del mismo, generando una variación sobre el resultado esperado, tanto en relación con los costos </w:t>
      </w:r>
      <w:r w:rsidR="00B81B1F" w:rsidRPr="00A74F66">
        <w:rPr>
          <w:rFonts w:ascii="Century Gothic" w:hAnsi="Century Gothic" w:cs="Arial"/>
          <w:color w:val="000000" w:themeColor="text1"/>
          <w:sz w:val="21"/>
          <w:szCs w:val="21"/>
          <w:lang w:val="es-ES" w:eastAsia="es-CO"/>
        </w:rPr>
        <w:t>como con</w:t>
      </w:r>
      <w:r w:rsidRPr="00A74F66">
        <w:rPr>
          <w:rFonts w:ascii="Century Gothic" w:hAnsi="Century Gothic" w:cs="Arial"/>
          <w:color w:val="000000" w:themeColor="text1"/>
          <w:sz w:val="21"/>
          <w:szCs w:val="21"/>
          <w:lang w:val="es-ES" w:eastAsia="es-CO"/>
        </w:rPr>
        <w:t xml:space="preserve"> las actividades a desarrollar en la ejecución contractual.</w:t>
      </w:r>
    </w:p>
    <w:p w14:paraId="419A2FA6" w14:textId="77777777" w:rsidR="00B81B1F" w:rsidRPr="00A74F66" w:rsidRDefault="00B81B1F" w:rsidP="007C702A">
      <w:pPr>
        <w:rPr>
          <w:rFonts w:ascii="Century Gothic" w:hAnsi="Century Gothic" w:cs="Arial"/>
          <w:color w:val="000000" w:themeColor="text1"/>
          <w:sz w:val="21"/>
          <w:szCs w:val="21"/>
          <w:lang w:val="es-ES_tradnl" w:eastAsia="es-CO"/>
        </w:rPr>
      </w:pPr>
    </w:p>
    <w:p w14:paraId="5322C892" w14:textId="6D4072CB" w:rsidR="00D70D7B" w:rsidRPr="00A74F66" w:rsidRDefault="00D70D7B" w:rsidP="007C702A">
      <w:pPr>
        <w:rPr>
          <w:rFonts w:ascii="Century Gothic" w:hAnsi="Century Gothic" w:cs="Arial"/>
          <w:color w:val="000000" w:themeColor="text1"/>
          <w:sz w:val="21"/>
          <w:szCs w:val="21"/>
          <w:lang w:val="es-ES_tradnl" w:eastAsia="es-CO"/>
        </w:rPr>
      </w:pPr>
      <w:r w:rsidRPr="00A74F66">
        <w:rPr>
          <w:rFonts w:ascii="Century Gothic" w:hAnsi="Century Gothic" w:cs="Arial"/>
          <w:color w:val="000000" w:themeColor="text1"/>
          <w:sz w:val="21"/>
          <w:szCs w:val="21"/>
          <w:lang w:val="es-ES_tradnl" w:eastAsia="es-CO"/>
        </w:rPr>
        <w:t>Corresponderá al contratista seleccionado la asunción de</w:t>
      </w:r>
      <w:r w:rsidR="006E6D9B" w:rsidRPr="00A74F66">
        <w:rPr>
          <w:rFonts w:ascii="Century Gothic" w:hAnsi="Century Gothic" w:cs="Arial"/>
          <w:color w:val="000000" w:themeColor="text1"/>
          <w:sz w:val="21"/>
          <w:szCs w:val="21"/>
          <w:lang w:val="es-ES_tradnl" w:eastAsia="es-CO"/>
        </w:rPr>
        <w:t>l R</w:t>
      </w:r>
      <w:r w:rsidRPr="00A74F66">
        <w:rPr>
          <w:rFonts w:ascii="Century Gothic" w:hAnsi="Century Gothic" w:cs="Arial"/>
          <w:color w:val="000000" w:themeColor="text1"/>
          <w:sz w:val="21"/>
          <w:szCs w:val="21"/>
          <w:lang w:val="es-ES_tradnl" w:eastAsia="es-CO"/>
        </w:rPr>
        <w:t xml:space="preserve">iesgo previsible propio de este tipo de contratación asumiendo su costo, siempre que el mismo no se encuentre expresamente a cargo de la </w:t>
      </w:r>
      <w:r w:rsidR="00624AC2" w:rsidRPr="00A74F66">
        <w:rPr>
          <w:rFonts w:ascii="Century Gothic" w:hAnsi="Century Gothic" w:cs="Arial"/>
          <w:color w:val="000000" w:themeColor="text1"/>
          <w:sz w:val="21"/>
          <w:szCs w:val="21"/>
          <w:lang w:val="es-ES_tradnl" w:eastAsia="es-CO"/>
        </w:rPr>
        <w:t>e</w:t>
      </w:r>
      <w:r w:rsidRPr="00A74F66">
        <w:rPr>
          <w:rFonts w:ascii="Century Gothic" w:hAnsi="Century Gothic" w:cs="Arial"/>
          <w:color w:val="000000" w:themeColor="text1"/>
          <w:sz w:val="21"/>
          <w:szCs w:val="21"/>
          <w:lang w:val="es-ES_tradnl" w:eastAsia="es-CO"/>
        </w:rPr>
        <w:t xml:space="preserve">ntidad en el contrato. </w:t>
      </w:r>
    </w:p>
    <w:p w14:paraId="78757E00" w14:textId="77777777" w:rsidR="00B81B1F" w:rsidRPr="00A74F66" w:rsidRDefault="00B81B1F" w:rsidP="007C702A">
      <w:pPr>
        <w:rPr>
          <w:rFonts w:ascii="Century Gothic" w:hAnsi="Century Gothic" w:cs="Arial"/>
          <w:color w:val="000000" w:themeColor="text1"/>
          <w:sz w:val="21"/>
          <w:szCs w:val="21"/>
          <w:lang w:val="es-ES_tradnl" w:eastAsia="es-CO"/>
        </w:rPr>
      </w:pPr>
    </w:p>
    <w:p w14:paraId="2E7008F5" w14:textId="14484365" w:rsidR="00545461" w:rsidRPr="00A74F66" w:rsidRDefault="006E6D9B" w:rsidP="007C702A">
      <w:pPr>
        <w:rPr>
          <w:rFonts w:ascii="Century Gothic" w:hAnsi="Century Gothic" w:cs="Arial"/>
          <w:color w:val="000000" w:themeColor="text1"/>
          <w:sz w:val="21"/>
          <w:szCs w:val="21"/>
          <w:lang w:val="es-ES_tradnl" w:eastAsia="es-CO"/>
        </w:rPr>
      </w:pPr>
      <w:r w:rsidRPr="00A74F66">
        <w:rPr>
          <w:rFonts w:ascii="Century Gothic" w:hAnsi="Century Gothic" w:cs="Arial"/>
          <w:color w:val="000000" w:themeColor="text1"/>
          <w:sz w:val="21"/>
          <w:szCs w:val="21"/>
          <w:lang w:val="es-ES_tradnl" w:eastAsia="es-CO"/>
        </w:rPr>
        <w:t xml:space="preserve">De acuerdo con </w:t>
      </w:r>
      <w:r w:rsidR="00C61BDB" w:rsidRPr="00A74F66">
        <w:rPr>
          <w:rFonts w:ascii="Century Gothic" w:hAnsi="Century Gothic" w:cs="Arial"/>
          <w:color w:val="000000" w:themeColor="text1"/>
          <w:sz w:val="21"/>
          <w:szCs w:val="21"/>
          <w:lang w:val="es-ES_tradnl" w:eastAsia="es-CO"/>
        </w:rPr>
        <w:t xml:space="preserve">procedimiento </w:t>
      </w:r>
      <w:r w:rsidR="00545461" w:rsidRPr="00A74F66">
        <w:rPr>
          <w:rFonts w:ascii="Century Gothic" w:hAnsi="Century Gothic" w:cs="Arial"/>
          <w:color w:val="000000" w:themeColor="text1"/>
          <w:sz w:val="21"/>
          <w:szCs w:val="21"/>
          <w:lang w:val="es-ES_tradnl" w:eastAsia="es-CO"/>
        </w:rPr>
        <w:t xml:space="preserve">de la referencia, nos permitimos establecer la tipificación, estimación y asignación de los riesgos previsibles que puedan afectar el presente </w:t>
      </w:r>
      <w:r w:rsidR="00C61BDB" w:rsidRPr="00A74F66">
        <w:rPr>
          <w:rFonts w:ascii="Century Gothic" w:hAnsi="Century Gothic" w:cs="Arial"/>
          <w:color w:val="000000" w:themeColor="text1"/>
          <w:sz w:val="21"/>
          <w:szCs w:val="21"/>
          <w:lang w:val="es-ES_tradnl" w:eastAsia="es-CO"/>
        </w:rPr>
        <w:t>procedimiento</w:t>
      </w:r>
      <w:r w:rsidR="00545461" w:rsidRPr="00A74F66">
        <w:rPr>
          <w:rFonts w:ascii="Century Gothic" w:hAnsi="Century Gothic" w:cs="Arial"/>
          <w:color w:val="000000" w:themeColor="text1"/>
          <w:sz w:val="21"/>
          <w:szCs w:val="21"/>
          <w:lang w:val="es-ES_tradnl" w:eastAsia="es-CO"/>
        </w:rPr>
        <w:t>.</w:t>
      </w:r>
    </w:p>
    <w:p w14:paraId="77031AF6" w14:textId="250AF235" w:rsidR="0058222E" w:rsidRPr="00A74F66" w:rsidRDefault="0058222E" w:rsidP="007C702A">
      <w:pPr>
        <w:rPr>
          <w:rFonts w:ascii="Century Gothic" w:hAnsi="Century Gothic" w:cs="Arial"/>
          <w:color w:val="000000" w:themeColor="text1"/>
          <w:sz w:val="21"/>
          <w:szCs w:val="21"/>
          <w:lang w:val="es-ES_tradnl" w:eastAsia="es-CO"/>
        </w:rPr>
      </w:pPr>
    </w:p>
    <w:p w14:paraId="4D84E88B" w14:textId="77777777" w:rsidR="0058222E" w:rsidRPr="00A74F66" w:rsidRDefault="00815604" w:rsidP="00D70D7B">
      <w:pPr>
        <w:spacing w:after="100" w:afterAutospacing="1"/>
        <w:rPr>
          <w:rFonts w:ascii="Century Gothic" w:eastAsia="SimSun" w:hAnsi="Century Gothic" w:cs="Arial"/>
          <w:color w:val="000000" w:themeColor="text1"/>
          <w:kern w:val="3"/>
          <w:sz w:val="21"/>
          <w:szCs w:val="21"/>
          <w:lang w:eastAsia="zh-CN" w:bidi="hi-IN"/>
        </w:rPr>
      </w:pPr>
      <w:r w:rsidRPr="00A74F66">
        <w:rPr>
          <w:rFonts w:ascii="Century Gothic" w:eastAsia="SimSun" w:hAnsi="Century Gothic" w:cs="Arial"/>
          <w:b/>
          <w:color w:val="000000" w:themeColor="text1"/>
          <w:kern w:val="3"/>
          <w:sz w:val="21"/>
          <w:szCs w:val="21"/>
          <w:u w:val="single"/>
          <w:lang w:eastAsia="zh-CN" w:bidi="hi-IN"/>
        </w:rPr>
        <w:t>Matriz de Riesgos</w:t>
      </w:r>
    </w:p>
    <w:p w14:paraId="7ED9F954" w14:textId="77777777" w:rsidR="00815604" w:rsidRPr="00A74F66" w:rsidRDefault="00815604" w:rsidP="00D70D7B">
      <w:pPr>
        <w:spacing w:after="100" w:afterAutospacing="1"/>
        <w:rPr>
          <w:rFonts w:ascii="Century Gothic" w:eastAsia="SimSun" w:hAnsi="Century Gothic" w:cs="Arial"/>
          <w:kern w:val="3"/>
          <w:sz w:val="21"/>
          <w:szCs w:val="21"/>
          <w:lang w:eastAsia="zh-CN" w:bidi="hi-IN"/>
        </w:rPr>
      </w:pPr>
    </w:p>
    <w:p w14:paraId="74770F23" w14:textId="77777777" w:rsidR="00815604" w:rsidRPr="00A74F66" w:rsidRDefault="00815604" w:rsidP="004D7C35">
      <w:pPr>
        <w:spacing w:after="100" w:afterAutospacing="1"/>
        <w:jc w:val="center"/>
        <w:rPr>
          <w:rFonts w:ascii="Century Gothic" w:eastAsia="SimSun" w:hAnsi="Century Gothic" w:cs="Arial"/>
          <w:kern w:val="3"/>
          <w:sz w:val="21"/>
          <w:szCs w:val="21"/>
          <w:lang w:eastAsia="zh-CN" w:bidi="hi-IN"/>
        </w:rPr>
      </w:pPr>
    </w:p>
    <w:p w14:paraId="56676EE9" w14:textId="77777777" w:rsidR="00A74F66" w:rsidRDefault="00A74F66" w:rsidP="00241A33">
      <w:pPr>
        <w:tabs>
          <w:tab w:val="left" w:pos="6690"/>
        </w:tabs>
        <w:spacing w:after="100" w:afterAutospacing="1"/>
        <w:rPr>
          <w:rFonts w:ascii="Century Gothic" w:eastAsia="SimSun" w:hAnsi="Century Gothic" w:cs="Arial"/>
          <w:kern w:val="3"/>
          <w:sz w:val="21"/>
          <w:szCs w:val="21"/>
          <w:lang w:eastAsia="zh-CN" w:bidi="hi-IN"/>
        </w:rPr>
        <w:sectPr w:rsidR="00A74F66" w:rsidSect="00091875">
          <w:headerReference w:type="default" r:id="rId11"/>
          <w:footerReference w:type="default" r:id="rId12"/>
          <w:pgSz w:w="12240" w:h="15840" w:code="1"/>
          <w:pgMar w:top="1134" w:right="1134" w:bottom="1134" w:left="1304" w:header="720" w:footer="720" w:gutter="0"/>
          <w:cols w:space="720"/>
          <w:noEndnote/>
          <w:docGrid w:linePitch="299"/>
        </w:sectPr>
      </w:pPr>
    </w:p>
    <w:p w14:paraId="168C9C57" w14:textId="16C08E95" w:rsidR="00D70D7B" w:rsidRDefault="00D70D7B" w:rsidP="00241A33">
      <w:pPr>
        <w:tabs>
          <w:tab w:val="left" w:pos="6690"/>
        </w:tabs>
        <w:spacing w:after="100" w:afterAutospacing="1"/>
        <w:rPr>
          <w:rFonts w:ascii="Century Gothic" w:eastAsia="SimSun" w:hAnsi="Century Gothic" w:cs="Arial"/>
          <w:kern w:val="3"/>
          <w:sz w:val="21"/>
          <w:szCs w:val="21"/>
          <w:lang w:eastAsia="zh-CN" w:bidi="hi-IN"/>
        </w:rPr>
      </w:pPr>
    </w:p>
    <w:tbl>
      <w:tblPr>
        <w:tblStyle w:val="Tablaconcuadrcula"/>
        <w:tblW w:w="13687" w:type="dxa"/>
        <w:tblLook w:val="04A0" w:firstRow="1" w:lastRow="0" w:firstColumn="1" w:lastColumn="0" w:noHBand="0" w:noVBand="1"/>
      </w:tblPr>
      <w:tblGrid>
        <w:gridCol w:w="370"/>
        <w:gridCol w:w="893"/>
        <w:gridCol w:w="639"/>
        <w:gridCol w:w="543"/>
        <w:gridCol w:w="707"/>
        <w:gridCol w:w="838"/>
        <w:gridCol w:w="961"/>
        <w:gridCol w:w="926"/>
        <w:gridCol w:w="682"/>
        <w:gridCol w:w="558"/>
        <w:gridCol w:w="721"/>
        <w:gridCol w:w="740"/>
        <w:gridCol w:w="789"/>
        <w:gridCol w:w="650"/>
        <w:gridCol w:w="783"/>
        <w:gridCol w:w="638"/>
        <w:gridCol w:w="715"/>
        <w:gridCol w:w="716"/>
        <w:gridCol w:w="784"/>
        <w:gridCol w:w="847"/>
        <w:gridCol w:w="763"/>
        <w:gridCol w:w="1179"/>
      </w:tblGrid>
      <w:tr w:rsidR="00C20318" w:rsidRPr="00C20318" w14:paraId="51936A3C" w14:textId="77777777" w:rsidTr="00C20318">
        <w:trPr>
          <w:trHeight w:val="900"/>
        </w:trPr>
        <w:tc>
          <w:tcPr>
            <w:tcW w:w="421" w:type="dxa"/>
            <w:vMerge w:val="restart"/>
            <w:hideMark/>
          </w:tcPr>
          <w:p w14:paraId="209FA3FC"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 xml:space="preserve">No </w:t>
            </w:r>
          </w:p>
        </w:tc>
        <w:tc>
          <w:tcPr>
            <w:tcW w:w="729" w:type="dxa"/>
            <w:vMerge w:val="restart"/>
            <w:hideMark/>
          </w:tcPr>
          <w:p w14:paraId="2762BF68"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SITUACIÓN DE RIESGO</w:t>
            </w:r>
          </w:p>
        </w:tc>
        <w:tc>
          <w:tcPr>
            <w:tcW w:w="536" w:type="dxa"/>
            <w:vMerge w:val="restart"/>
            <w:hideMark/>
          </w:tcPr>
          <w:p w14:paraId="1255CFDA"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CLASE</w:t>
            </w:r>
          </w:p>
        </w:tc>
        <w:tc>
          <w:tcPr>
            <w:tcW w:w="464" w:type="dxa"/>
            <w:vMerge w:val="restart"/>
            <w:hideMark/>
          </w:tcPr>
          <w:p w14:paraId="01139439"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FUENTE</w:t>
            </w:r>
          </w:p>
        </w:tc>
        <w:tc>
          <w:tcPr>
            <w:tcW w:w="587" w:type="dxa"/>
            <w:vMerge w:val="restart"/>
            <w:hideMark/>
          </w:tcPr>
          <w:p w14:paraId="672A00C2"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ETAPA</w:t>
            </w:r>
          </w:p>
        </w:tc>
        <w:tc>
          <w:tcPr>
            <w:tcW w:w="687" w:type="dxa"/>
            <w:vMerge w:val="restart"/>
            <w:hideMark/>
          </w:tcPr>
          <w:p w14:paraId="516BF934"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TIPO</w:t>
            </w:r>
          </w:p>
        </w:tc>
        <w:tc>
          <w:tcPr>
            <w:tcW w:w="780" w:type="dxa"/>
            <w:vMerge w:val="restart"/>
            <w:hideMark/>
          </w:tcPr>
          <w:p w14:paraId="36442652" w14:textId="4CC869F2"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DESCRIPCION (</w:t>
            </w:r>
            <w:r w:rsidRPr="00C20318">
              <w:rPr>
                <w:rFonts w:ascii="Century Gothic" w:hAnsi="Century Gothic" w:cs="Arial"/>
                <w:b/>
                <w:bCs/>
                <w:color w:val="000000"/>
                <w:sz w:val="10"/>
                <w:szCs w:val="10"/>
                <w:lang w:eastAsia="es-ES_tradnl"/>
              </w:rPr>
              <w:t>QUE PUEDE PASAR Y, COMO PUEDE OCURRIR)</w:t>
            </w:r>
          </w:p>
        </w:tc>
        <w:tc>
          <w:tcPr>
            <w:tcW w:w="753" w:type="dxa"/>
            <w:vMerge w:val="restart"/>
            <w:hideMark/>
          </w:tcPr>
          <w:p w14:paraId="6F7ED6E0"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CONSECUENCIA DE LA OCURRENCIA DEL EVENTO</w:t>
            </w:r>
          </w:p>
        </w:tc>
        <w:tc>
          <w:tcPr>
            <w:tcW w:w="568" w:type="dxa"/>
            <w:vMerge w:val="restart"/>
            <w:hideMark/>
          </w:tcPr>
          <w:p w14:paraId="70064D54"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PROBALIDAD</w:t>
            </w:r>
          </w:p>
        </w:tc>
        <w:tc>
          <w:tcPr>
            <w:tcW w:w="475" w:type="dxa"/>
            <w:vMerge w:val="restart"/>
            <w:hideMark/>
          </w:tcPr>
          <w:p w14:paraId="3CD17665"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IMPACTO</w:t>
            </w:r>
          </w:p>
        </w:tc>
        <w:tc>
          <w:tcPr>
            <w:tcW w:w="598" w:type="dxa"/>
            <w:vMerge w:val="restart"/>
            <w:hideMark/>
          </w:tcPr>
          <w:p w14:paraId="4AB7C34D"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VALORACION DEL RIESGO</w:t>
            </w:r>
          </w:p>
        </w:tc>
        <w:tc>
          <w:tcPr>
            <w:tcW w:w="612" w:type="dxa"/>
            <w:vMerge w:val="restart"/>
            <w:hideMark/>
          </w:tcPr>
          <w:p w14:paraId="06CC4D2C"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ESTIMACION</w:t>
            </w:r>
          </w:p>
        </w:tc>
        <w:tc>
          <w:tcPr>
            <w:tcW w:w="650" w:type="dxa"/>
            <w:vMerge w:val="restart"/>
            <w:hideMark/>
          </w:tcPr>
          <w:p w14:paraId="66B94F8C"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PARTICIPACION</w:t>
            </w:r>
          </w:p>
        </w:tc>
        <w:tc>
          <w:tcPr>
            <w:tcW w:w="544" w:type="dxa"/>
            <w:vMerge w:val="restart"/>
            <w:hideMark/>
          </w:tcPr>
          <w:p w14:paraId="6E2DA165"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CATEGORIA</w:t>
            </w:r>
          </w:p>
        </w:tc>
        <w:tc>
          <w:tcPr>
            <w:tcW w:w="645" w:type="dxa"/>
            <w:vMerge w:val="restart"/>
            <w:hideMark/>
          </w:tcPr>
          <w:p w14:paraId="6795A357" w14:textId="77777777" w:rsidR="00C20318" w:rsidRPr="00C20318" w:rsidRDefault="00C20318" w:rsidP="00F814AF">
            <w:pPr>
              <w:rPr>
                <w:rFonts w:ascii="Century Gothic" w:hAnsi="Century Gothic" w:cs="Arial"/>
                <w:b/>
                <w:bCs/>
                <w:color w:val="000000"/>
                <w:sz w:val="10"/>
                <w:szCs w:val="10"/>
                <w:lang w:eastAsia="es-ES_tradnl"/>
              </w:rPr>
            </w:pPr>
            <w:proofErr w:type="gramStart"/>
            <w:r w:rsidRPr="00C20318">
              <w:rPr>
                <w:rFonts w:ascii="Century Gothic" w:hAnsi="Century Gothic" w:cs="Arial"/>
                <w:b/>
                <w:bCs/>
                <w:color w:val="000000"/>
                <w:sz w:val="10"/>
                <w:szCs w:val="10"/>
                <w:lang w:eastAsia="es-ES_tradnl"/>
              </w:rPr>
              <w:t>¿ A</w:t>
            </w:r>
            <w:proofErr w:type="gramEnd"/>
            <w:r w:rsidRPr="00C20318">
              <w:rPr>
                <w:rFonts w:ascii="Century Gothic" w:hAnsi="Century Gothic" w:cs="Arial"/>
                <w:b/>
                <w:bCs/>
                <w:color w:val="000000"/>
                <w:sz w:val="10"/>
                <w:szCs w:val="10"/>
                <w:lang w:eastAsia="es-ES_tradnl"/>
              </w:rPr>
              <w:t xml:space="preserve"> QUIEN SE LE ASIGNA?</w:t>
            </w:r>
          </w:p>
        </w:tc>
        <w:tc>
          <w:tcPr>
            <w:tcW w:w="535" w:type="dxa"/>
            <w:vMerge w:val="restart"/>
            <w:hideMark/>
          </w:tcPr>
          <w:p w14:paraId="72A81FFD"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AFECTA LA EJECUCIÓN CONTRATO</w:t>
            </w:r>
          </w:p>
        </w:tc>
        <w:tc>
          <w:tcPr>
            <w:tcW w:w="594" w:type="dxa"/>
            <w:vMerge w:val="restart"/>
            <w:hideMark/>
          </w:tcPr>
          <w:p w14:paraId="36E00F84"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PERSONA RESPONSABLE TRATAMIENTO</w:t>
            </w:r>
          </w:p>
        </w:tc>
        <w:tc>
          <w:tcPr>
            <w:tcW w:w="594" w:type="dxa"/>
            <w:vMerge w:val="restart"/>
            <w:hideMark/>
          </w:tcPr>
          <w:p w14:paraId="4CC0164A"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FECHA EN LA QUE SE INCIA TRATAMIENTO</w:t>
            </w:r>
          </w:p>
        </w:tc>
        <w:tc>
          <w:tcPr>
            <w:tcW w:w="646" w:type="dxa"/>
            <w:vMerge w:val="restart"/>
            <w:hideMark/>
          </w:tcPr>
          <w:p w14:paraId="0023FED6"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FECHA COMPLETA TRATAMIENTO</w:t>
            </w:r>
          </w:p>
        </w:tc>
        <w:tc>
          <w:tcPr>
            <w:tcW w:w="694" w:type="dxa"/>
            <w:vMerge w:val="restart"/>
            <w:hideMark/>
          </w:tcPr>
          <w:p w14:paraId="7FF40512"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COMO SE REALIZA MONITOREO</w:t>
            </w:r>
          </w:p>
        </w:tc>
        <w:tc>
          <w:tcPr>
            <w:tcW w:w="630" w:type="dxa"/>
            <w:vMerge w:val="restart"/>
            <w:hideMark/>
          </w:tcPr>
          <w:p w14:paraId="4F737F9F" w14:textId="5C3A3744"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PERIODICIDAD. ¿</w:t>
            </w:r>
            <w:r w:rsidRPr="00C20318">
              <w:rPr>
                <w:rFonts w:ascii="Century Gothic" w:hAnsi="Century Gothic" w:cs="Arial"/>
                <w:b/>
                <w:bCs/>
                <w:color w:val="000000"/>
                <w:sz w:val="10"/>
                <w:szCs w:val="10"/>
                <w:lang w:eastAsia="es-ES_tradnl"/>
              </w:rPr>
              <w:t>CUÁNDO</w:t>
            </w:r>
            <w:r w:rsidRPr="00C20318">
              <w:rPr>
                <w:rFonts w:ascii="Century Gothic" w:hAnsi="Century Gothic" w:cs="Arial"/>
                <w:b/>
                <w:bCs/>
                <w:color w:val="000000"/>
                <w:sz w:val="10"/>
                <w:szCs w:val="10"/>
                <w:lang w:eastAsia="es-ES_tradnl"/>
              </w:rPr>
              <w:t>?</w:t>
            </w:r>
          </w:p>
        </w:tc>
        <w:tc>
          <w:tcPr>
            <w:tcW w:w="945" w:type="dxa"/>
            <w:vMerge w:val="restart"/>
            <w:hideMark/>
          </w:tcPr>
          <w:p w14:paraId="1CF3D732" w14:textId="77777777" w:rsidR="00C20318" w:rsidRPr="00C20318" w:rsidRDefault="00C20318" w:rsidP="00F814AF">
            <w:pPr>
              <w:rPr>
                <w:rFonts w:ascii="Century Gothic" w:hAnsi="Century Gothic" w:cs="Arial"/>
                <w:b/>
                <w:bCs/>
                <w:color w:val="000000"/>
                <w:sz w:val="10"/>
                <w:szCs w:val="10"/>
                <w:lang w:eastAsia="es-ES_tradnl"/>
              </w:rPr>
            </w:pPr>
            <w:r w:rsidRPr="00C20318">
              <w:rPr>
                <w:rFonts w:ascii="Century Gothic" w:hAnsi="Century Gothic" w:cs="Arial"/>
                <w:b/>
                <w:bCs/>
                <w:color w:val="000000"/>
                <w:sz w:val="10"/>
                <w:szCs w:val="10"/>
                <w:lang w:eastAsia="es-ES_tradnl"/>
              </w:rPr>
              <w:t>TRATAMIENTO/CONTROLES A SER IMPLEMENTADOS</w:t>
            </w:r>
          </w:p>
        </w:tc>
      </w:tr>
      <w:tr w:rsidR="00C20318" w:rsidRPr="00C20318" w14:paraId="19B09C44" w14:textId="77777777" w:rsidTr="00C20318">
        <w:trPr>
          <w:trHeight w:val="705"/>
        </w:trPr>
        <w:tc>
          <w:tcPr>
            <w:tcW w:w="421" w:type="dxa"/>
            <w:vMerge/>
            <w:hideMark/>
          </w:tcPr>
          <w:p w14:paraId="1F5F6E2B" w14:textId="77777777" w:rsidR="00C20318" w:rsidRPr="00C20318" w:rsidRDefault="00C20318" w:rsidP="00F814AF">
            <w:pPr>
              <w:rPr>
                <w:rFonts w:ascii="Century Gothic" w:hAnsi="Century Gothic" w:cs="Arial"/>
                <w:color w:val="000000"/>
                <w:sz w:val="10"/>
                <w:szCs w:val="10"/>
                <w:lang w:eastAsia="es-ES_tradnl"/>
              </w:rPr>
            </w:pPr>
          </w:p>
        </w:tc>
        <w:tc>
          <w:tcPr>
            <w:tcW w:w="729" w:type="dxa"/>
            <w:vMerge/>
            <w:hideMark/>
          </w:tcPr>
          <w:p w14:paraId="2B123074" w14:textId="77777777" w:rsidR="00C20318" w:rsidRPr="00C20318" w:rsidRDefault="00C20318" w:rsidP="00F814AF">
            <w:pPr>
              <w:rPr>
                <w:rFonts w:ascii="Century Gothic" w:hAnsi="Century Gothic" w:cs="Arial"/>
                <w:color w:val="000000"/>
                <w:sz w:val="10"/>
                <w:szCs w:val="10"/>
                <w:lang w:eastAsia="es-ES_tradnl"/>
              </w:rPr>
            </w:pPr>
          </w:p>
        </w:tc>
        <w:tc>
          <w:tcPr>
            <w:tcW w:w="536" w:type="dxa"/>
            <w:vMerge/>
            <w:hideMark/>
          </w:tcPr>
          <w:p w14:paraId="73D99AE5" w14:textId="77777777" w:rsidR="00C20318" w:rsidRPr="00C20318" w:rsidRDefault="00C20318" w:rsidP="00F814AF">
            <w:pPr>
              <w:rPr>
                <w:rFonts w:ascii="Century Gothic" w:hAnsi="Century Gothic" w:cs="Arial"/>
                <w:color w:val="000000"/>
                <w:sz w:val="10"/>
                <w:szCs w:val="10"/>
                <w:lang w:eastAsia="es-ES_tradnl"/>
              </w:rPr>
            </w:pPr>
          </w:p>
        </w:tc>
        <w:tc>
          <w:tcPr>
            <w:tcW w:w="464" w:type="dxa"/>
            <w:vMerge/>
            <w:hideMark/>
          </w:tcPr>
          <w:p w14:paraId="7E182B57" w14:textId="77777777" w:rsidR="00C20318" w:rsidRPr="00C20318" w:rsidRDefault="00C20318" w:rsidP="00F814AF">
            <w:pPr>
              <w:rPr>
                <w:rFonts w:ascii="Century Gothic" w:hAnsi="Century Gothic" w:cs="Arial"/>
                <w:color w:val="000000"/>
                <w:sz w:val="10"/>
                <w:szCs w:val="10"/>
                <w:lang w:eastAsia="es-ES_tradnl"/>
              </w:rPr>
            </w:pPr>
          </w:p>
        </w:tc>
        <w:tc>
          <w:tcPr>
            <w:tcW w:w="587" w:type="dxa"/>
            <w:vMerge/>
            <w:hideMark/>
          </w:tcPr>
          <w:p w14:paraId="00439508" w14:textId="77777777" w:rsidR="00C20318" w:rsidRPr="00C20318" w:rsidRDefault="00C20318" w:rsidP="00F814AF">
            <w:pPr>
              <w:rPr>
                <w:rFonts w:ascii="Century Gothic" w:hAnsi="Century Gothic" w:cs="Arial"/>
                <w:color w:val="000000"/>
                <w:sz w:val="10"/>
                <w:szCs w:val="10"/>
                <w:lang w:eastAsia="es-ES_tradnl"/>
              </w:rPr>
            </w:pPr>
          </w:p>
        </w:tc>
        <w:tc>
          <w:tcPr>
            <w:tcW w:w="687" w:type="dxa"/>
            <w:vMerge/>
            <w:hideMark/>
          </w:tcPr>
          <w:p w14:paraId="3BB90117" w14:textId="77777777" w:rsidR="00C20318" w:rsidRPr="00C20318" w:rsidRDefault="00C20318" w:rsidP="00F814AF">
            <w:pPr>
              <w:rPr>
                <w:rFonts w:ascii="Century Gothic" w:hAnsi="Century Gothic" w:cs="Arial"/>
                <w:color w:val="000000"/>
                <w:sz w:val="10"/>
                <w:szCs w:val="10"/>
                <w:lang w:eastAsia="es-ES_tradnl"/>
              </w:rPr>
            </w:pPr>
          </w:p>
        </w:tc>
        <w:tc>
          <w:tcPr>
            <w:tcW w:w="780" w:type="dxa"/>
            <w:vMerge/>
            <w:hideMark/>
          </w:tcPr>
          <w:p w14:paraId="436B9723" w14:textId="77777777" w:rsidR="00C20318" w:rsidRPr="00C20318" w:rsidRDefault="00C20318" w:rsidP="00F814AF">
            <w:pPr>
              <w:rPr>
                <w:rFonts w:ascii="Century Gothic" w:hAnsi="Century Gothic" w:cs="Arial"/>
                <w:color w:val="000000"/>
                <w:sz w:val="10"/>
                <w:szCs w:val="10"/>
                <w:lang w:eastAsia="es-ES_tradnl"/>
              </w:rPr>
            </w:pPr>
          </w:p>
        </w:tc>
        <w:tc>
          <w:tcPr>
            <w:tcW w:w="753" w:type="dxa"/>
            <w:vMerge/>
            <w:hideMark/>
          </w:tcPr>
          <w:p w14:paraId="11920265" w14:textId="77777777" w:rsidR="00C20318" w:rsidRPr="00C20318" w:rsidRDefault="00C20318" w:rsidP="00F814AF">
            <w:pPr>
              <w:rPr>
                <w:rFonts w:ascii="Century Gothic" w:hAnsi="Century Gothic" w:cs="Arial"/>
                <w:color w:val="000000"/>
                <w:sz w:val="10"/>
                <w:szCs w:val="10"/>
                <w:lang w:eastAsia="es-ES_tradnl"/>
              </w:rPr>
            </w:pPr>
          </w:p>
        </w:tc>
        <w:tc>
          <w:tcPr>
            <w:tcW w:w="568" w:type="dxa"/>
            <w:vMerge/>
            <w:hideMark/>
          </w:tcPr>
          <w:p w14:paraId="297286A7" w14:textId="77777777" w:rsidR="00C20318" w:rsidRPr="00C20318" w:rsidRDefault="00C20318" w:rsidP="00F814AF">
            <w:pPr>
              <w:rPr>
                <w:rFonts w:ascii="Century Gothic" w:hAnsi="Century Gothic" w:cs="Arial"/>
                <w:color w:val="000000"/>
                <w:sz w:val="10"/>
                <w:szCs w:val="10"/>
                <w:lang w:eastAsia="es-ES_tradnl"/>
              </w:rPr>
            </w:pPr>
          </w:p>
        </w:tc>
        <w:tc>
          <w:tcPr>
            <w:tcW w:w="475" w:type="dxa"/>
            <w:vMerge/>
            <w:hideMark/>
          </w:tcPr>
          <w:p w14:paraId="29A483B8" w14:textId="77777777" w:rsidR="00C20318" w:rsidRPr="00C20318" w:rsidRDefault="00C20318" w:rsidP="00F814AF">
            <w:pPr>
              <w:rPr>
                <w:rFonts w:ascii="Century Gothic" w:hAnsi="Century Gothic" w:cs="Arial"/>
                <w:color w:val="000000"/>
                <w:sz w:val="10"/>
                <w:szCs w:val="10"/>
                <w:lang w:eastAsia="es-ES_tradnl"/>
              </w:rPr>
            </w:pPr>
          </w:p>
        </w:tc>
        <w:tc>
          <w:tcPr>
            <w:tcW w:w="598" w:type="dxa"/>
            <w:vMerge/>
            <w:hideMark/>
          </w:tcPr>
          <w:p w14:paraId="275DF586" w14:textId="77777777" w:rsidR="00C20318" w:rsidRPr="00C20318" w:rsidRDefault="00C20318" w:rsidP="00F814AF">
            <w:pPr>
              <w:rPr>
                <w:rFonts w:ascii="Century Gothic" w:hAnsi="Century Gothic" w:cs="Arial"/>
                <w:color w:val="000000"/>
                <w:sz w:val="10"/>
                <w:szCs w:val="10"/>
                <w:lang w:eastAsia="es-ES_tradnl"/>
              </w:rPr>
            </w:pPr>
          </w:p>
        </w:tc>
        <w:tc>
          <w:tcPr>
            <w:tcW w:w="612" w:type="dxa"/>
            <w:vMerge/>
            <w:hideMark/>
          </w:tcPr>
          <w:p w14:paraId="5AA0DAB0" w14:textId="77777777" w:rsidR="00C20318" w:rsidRPr="00C20318" w:rsidRDefault="00C20318" w:rsidP="00F814AF">
            <w:pPr>
              <w:rPr>
                <w:rFonts w:ascii="Century Gothic" w:hAnsi="Century Gothic" w:cs="Arial"/>
                <w:color w:val="000000"/>
                <w:sz w:val="10"/>
                <w:szCs w:val="10"/>
                <w:lang w:eastAsia="es-ES_tradnl"/>
              </w:rPr>
            </w:pPr>
          </w:p>
        </w:tc>
        <w:tc>
          <w:tcPr>
            <w:tcW w:w="650" w:type="dxa"/>
            <w:vMerge/>
            <w:hideMark/>
          </w:tcPr>
          <w:p w14:paraId="67F276F0" w14:textId="77777777" w:rsidR="00C20318" w:rsidRPr="00C20318" w:rsidRDefault="00C20318" w:rsidP="00F814AF">
            <w:pPr>
              <w:rPr>
                <w:rFonts w:ascii="Century Gothic" w:hAnsi="Century Gothic" w:cs="Arial"/>
                <w:color w:val="000000"/>
                <w:sz w:val="10"/>
                <w:szCs w:val="10"/>
                <w:lang w:eastAsia="es-ES_tradnl"/>
              </w:rPr>
            </w:pPr>
          </w:p>
        </w:tc>
        <w:tc>
          <w:tcPr>
            <w:tcW w:w="544" w:type="dxa"/>
            <w:vMerge/>
            <w:hideMark/>
          </w:tcPr>
          <w:p w14:paraId="5BC9CFB2" w14:textId="77777777" w:rsidR="00C20318" w:rsidRPr="00C20318" w:rsidRDefault="00C20318" w:rsidP="00F814AF">
            <w:pPr>
              <w:rPr>
                <w:rFonts w:ascii="Century Gothic" w:hAnsi="Century Gothic" w:cs="Arial"/>
                <w:color w:val="000000"/>
                <w:sz w:val="10"/>
                <w:szCs w:val="10"/>
                <w:lang w:eastAsia="es-ES_tradnl"/>
              </w:rPr>
            </w:pPr>
          </w:p>
        </w:tc>
        <w:tc>
          <w:tcPr>
            <w:tcW w:w="645" w:type="dxa"/>
            <w:vMerge/>
            <w:hideMark/>
          </w:tcPr>
          <w:p w14:paraId="6831B8D4" w14:textId="77777777" w:rsidR="00C20318" w:rsidRPr="00C20318" w:rsidRDefault="00C20318" w:rsidP="00F814AF">
            <w:pPr>
              <w:rPr>
                <w:rFonts w:ascii="Century Gothic" w:hAnsi="Century Gothic" w:cs="Arial"/>
                <w:color w:val="000000"/>
                <w:sz w:val="10"/>
                <w:szCs w:val="10"/>
                <w:lang w:eastAsia="es-ES_tradnl"/>
              </w:rPr>
            </w:pPr>
          </w:p>
        </w:tc>
        <w:tc>
          <w:tcPr>
            <w:tcW w:w="535" w:type="dxa"/>
            <w:vMerge/>
            <w:hideMark/>
          </w:tcPr>
          <w:p w14:paraId="568C7CB3" w14:textId="77777777" w:rsidR="00C20318" w:rsidRPr="00C20318" w:rsidRDefault="00C20318" w:rsidP="00F814AF">
            <w:pPr>
              <w:rPr>
                <w:rFonts w:ascii="Century Gothic" w:hAnsi="Century Gothic" w:cs="Arial"/>
                <w:color w:val="000000"/>
                <w:sz w:val="10"/>
                <w:szCs w:val="10"/>
                <w:lang w:eastAsia="es-ES_tradnl"/>
              </w:rPr>
            </w:pPr>
          </w:p>
        </w:tc>
        <w:tc>
          <w:tcPr>
            <w:tcW w:w="594" w:type="dxa"/>
            <w:vMerge/>
            <w:hideMark/>
          </w:tcPr>
          <w:p w14:paraId="6698B724" w14:textId="77777777" w:rsidR="00C20318" w:rsidRPr="00C20318" w:rsidRDefault="00C20318" w:rsidP="00F814AF">
            <w:pPr>
              <w:rPr>
                <w:rFonts w:ascii="Century Gothic" w:hAnsi="Century Gothic" w:cs="Arial"/>
                <w:color w:val="000000"/>
                <w:sz w:val="10"/>
                <w:szCs w:val="10"/>
                <w:lang w:eastAsia="es-ES_tradnl"/>
              </w:rPr>
            </w:pPr>
          </w:p>
        </w:tc>
        <w:tc>
          <w:tcPr>
            <w:tcW w:w="594" w:type="dxa"/>
            <w:vMerge/>
            <w:hideMark/>
          </w:tcPr>
          <w:p w14:paraId="0BB6D14C" w14:textId="77777777" w:rsidR="00C20318" w:rsidRPr="00C20318" w:rsidRDefault="00C20318" w:rsidP="00F814AF">
            <w:pPr>
              <w:rPr>
                <w:rFonts w:ascii="Century Gothic" w:hAnsi="Century Gothic" w:cs="Arial"/>
                <w:color w:val="000000"/>
                <w:sz w:val="10"/>
                <w:szCs w:val="10"/>
                <w:lang w:eastAsia="es-ES_tradnl"/>
              </w:rPr>
            </w:pPr>
          </w:p>
        </w:tc>
        <w:tc>
          <w:tcPr>
            <w:tcW w:w="646" w:type="dxa"/>
            <w:vMerge/>
            <w:hideMark/>
          </w:tcPr>
          <w:p w14:paraId="7F8815B1" w14:textId="77777777" w:rsidR="00C20318" w:rsidRPr="00C20318" w:rsidRDefault="00C20318" w:rsidP="00F814AF">
            <w:pPr>
              <w:rPr>
                <w:rFonts w:ascii="Century Gothic" w:hAnsi="Century Gothic" w:cs="Arial"/>
                <w:color w:val="000000"/>
                <w:sz w:val="10"/>
                <w:szCs w:val="10"/>
                <w:lang w:eastAsia="es-ES_tradnl"/>
              </w:rPr>
            </w:pPr>
          </w:p>
        </w:tc>
        <w:tc>
          <w:tcPr>
            <w:tcW w:w="694" w:type="dxa"/>
            <w:vMerge/>
            <w:hideMark/>
          </w:tcPr>
          <w:p w14:paraId="22B51346" w14:textId="77777777" w:rsidR="00C20318" w:rsidRPr="00C20318" w:rsidRDefault="00C20318" w:rsidP="00F814AF">
            <w:pPr>
              <w:rPr>
                <w:rFonts w:ascii="Century Gothic" w:hAnsi="Century Gothic" w:cs="Arial"/>
                <w:color w:val="000000"/>
                <w:sz w:val="10"/>
                <w:szCs w:val="10"/>
                <w:lang w:eastAsia="es-ES_tradnl"/>
              </w:rPr>
            </w:pPr>
          </w:p>
        </w:tc>
        <w:tc>
          <w:tcPr>
            <w:tcW w:w="630" w:type="dxa"/>
            <w:vMerge/>
            <w:hideMark/>
          </w:tcPr>
          <w:p w14:paraId="17B13488" w14:textId="77777777" w:rsidR="00C20318" w:rsidRPr="00C20318" w:rsidRDefault="00C20318" w:rsidP="00F814AF">
            <w:pPr>
              <w:rPr>
                <w:rFonts w:ascii="Century Gothic" w:hAnsi="Century Gothic" w:cs="Arial"/>
                <w:color w:val="000000"/>
                <w:sz w:val="10"/>
                <w:szCs w:val="10"/>
                <w:lang w:eastAsia="es-ES_tradnl"/>
              </w:rPr>
            </w:pPr>
          </w:p>
        </w:tc>
        <w:tc>
          <w:tcPr>
            <w:tcW w:w="945" w:type="dxa"/>
            <w:vMerge/>
            <w:hideMark/>
          </w:tcPr>
          <w:p w14:paraId="0438FF8E" w14:textId="77777777" w:rsidR="00C20318" w:rsidRPr="00C20318" w:rsidRDefault="00C20318" w:rsidP="00F814AF">
            <w:pPr>
              <w:rPr>
                <w:rFonts w:ascii="Century Gothic" w:hAnsi="Century Gothic" w:cs="Arial"/>
                <w:color w:val="000000"/>
                <w:sz w:val="10"/>
                <w:szCs w:val="10"/>
                <w:lang w:eastAsia="es-ES_tradnl"/>
              </w:rPr>
            </w:pPr>
          </w:p>
        </w:tc>
      </w:tr>
      <w:tr w:rsidR="00C20318" w:rsidRPr="00C20318" w14:paraId="1E84C8AC" w14:textId="77777777" w:rsidTr="00C20318">
        <w:trPr>
          <w:trHeight w:val="1365"/>
        </w:trPr>
        <w:tc>
          <w:tcPr>
            <w:tcW w:w="421" w:type="dxa"/>
            <w:noWrap/>
            <w:hideMark/>
          </w:tcPr>
          <w:p w14:paraId="2767A09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729" w:type="dxa"/>
            <w:hideMark/>
          </w:tcPr>
          <w:p w14:paraId="4D888A0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FLUCTUACIÓN PRECIOS DE LOS INSUMOS </w:t>
            </w:r>
          </w:p>
        </w:tc>
        <w:tc>
          <w:tcPr>
            <w:tcW w:w="536" w:type="dxa"/>
            <w:hideMark/>
          </w:tcPr>
          <w:p w14:paraId="0A254D0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540998E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0F3BC41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02DD741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ECONOMICO</w:t>
            </w:r>
          </w:p>
        </w:tc>
        <w:tc>
          <w:tcPr>
            <w:tcW w:w="780" w:type="dxa"/>
            <w:hideMark/>
          </w:tcPr>
          <w:p w14:paraId="04BBDE9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VARIACIÓN EN </w:t>
            </w:r>
            <w:proofErr w:type="gramStart"/>
            <w:r w:rsidRPr="00C20318">
              <w:rPr>
                <w:rFonts w:ascii="Century Gothic" w:hAnsi="Century Gothic" w:cs="Arial"/>
                <w:color w:val="000000"/>
                <w:sz w:val="10"/>
                <w:szCs w:val="10"/>
                <w:lang w:eastAsia="es-ES_tradnl"/>
              </w:rPr>
              <w:t>EL  PRECIO</w:t>
            </w:r>
            <w:proofErr w:type="gramEnd"/>
            <w:r w:rsidRPr="00C20318">
              <w:rPr>
                <w:rFonts w:ascii="Century Gothic" w:hAnsi="Century Gothic" w:cs="Arial"/>
                <w:color w:val="000000"/>
                <w:sz w:val="10"/>
                <w:szCs w:val="10"/>
                <w:lang w:eastAsia="es-ES_tradnl"/>
              </w:rPr>
              <w:t xml:space="preserve"> DE LOS INSUMOS  Y DEMÁS COMPONENTES DE LAS ACTIVIDADES A EJECUTAR  DERIVADO DEL INCREMENTO O DISMINUCIÓN  EN LOS PRECIOS DEL MERCADO</w:t>
            </w:r>
          </w:p>
        </w:tc>
        <w:tc>
          <w:tcPr>
            <w:tcW w:w="753" w:type="dxa"/>
            <w:hideMark/>
          </w:tcPr>
          <w:p w14:paraId="3656215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VARIACIÓN DEL PRECIO DE LA OFERTA PRESENTADA EN LA ETAPA DE CONTRATACIÓN </w:t>
            </w:r>
          </w:p>
        </w:tc>
        <w:tc>
          <w:tcPr>
            <w:tcW w:w="568" w:type="dxa"/>
            <w:hideMark/>
          </w:tcPr>
          <w:p w14:paraId="2149EE1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4</w:t>
            </w:r>
          </w:p>
        </w:tc>
        <w:tc>
          <w:tcPr>
            <w:tcW w:w="475" w:type="dxa"/>
            <w:hideMark/>
          </w:tcPr>
          <w:p w14:paraId="2C3F138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5</w:t>
            </w:r>
          </w:p>
        </w:tc>
        <w:tc>
          <w:tcPr>
            <w:tcW w:w="598" w:type="dxa"/>
            <w:hideMark/>
          </w:tcPr>
          <w:p w14:paraId="0ADD574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4, 5</w:t>
            </w:r>
          </w:p>
        </w:tc>
        <w:tc>
          <w:tcPr>
            <w:tcW w:w="612" w:type="dxa"/>
            <w:hideMark/>
          </w:tcPr>
          <w:p w14:paraId="686AC0F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121.287.602,34 </w:t>
            </w:r>
          </w:p>
        </w:tc>
        <w:tc>
          <w:tcPr>
            <w:tcW w:w="650" w:type="dxa"/>
            <w:hideMark/>
          </w:tcPr>
          <w:p w14:paraId="627ACDE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26,61%</w:t>
            </w:r>
          </w:p>
        </w:tc>
        <w:tc>
          <w:tcPr>
            <w:tcW w:w="544" w:type="dxa"/>
            <w:hideMark/>
          </w:tcPr>
          <w:p w14:paraId="1C3AEE6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1BD83E6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51DDF71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4B5CFDC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497FAB2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DESDE LA OCURRENCIA DEL RIESGO</w:t>
            </w:r>
          </w:p>
        </w:tc>
        <w:tc>
          <w:tcPr>
            <w:tcW w:w="646" w:type="dxa"/>
            <w:hideMark/>
          </w:tcPr>
          <w:p w14:paraId="41D4FEE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2343F60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OBLIGACIONES CONTRATISTA Y PLAN CONTINGENCIAS</w:t>
            </w:r>
          </w:p>
        </w:tc>
        <w:tc>
          <w:tcPr>
            <w:tcW w:w="630" w:type="dxa"/>
            <w:hideMark/>
          </w:tcPr>
          <w:p w14:paraId="01424C0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PERMANENTE</w:t>
            </w:r>
          </w:p>
        </w:tc>
        <w:tc>
          <w:tcPr>
            <w:tcW w:w="945" w:type="dxa"/>
            <w:hideMark/>
          </w:tcPr>
          <w:p w14:paraId="676B681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7EDE7BC9" w14:textId="77777777" w:rsidTr="00C20318">
        <w:trPr>
          <w:trHeight w:val="1335"/>
        </w:trPr>
        <w:tc>
          <w:tcPr>
            <w:tcW w:w="421" w:type="dxa"/>
            <w:noWrap/>
            <w:hideMark/>
          </w:tcPr>
          <w:p w14:paraId="671321A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w:t>
            </w:r>
          </w:p>
        </w:tc>
        <w:tc>
          <w:tcPr>
            <w:tcW w:w="729" w:type="dxa"/>
            <w:hideMark/>
          </w:tcPr>
          <w:p w14:paraId="63FF2C8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ALTERACIÓN DEL ORDEN PUBLICO </w:t>
            </w:r>
          </w:p>
        </w:tc>
        <w:tc>
          <w:tcPr>
            <w:tcW w:w="536" w:type="dxa"/>
            <w:hideMark/>
          </w:tcPr>
          <w:p w14:paraId="4F5D2D7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44A5D49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28D9A50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409E021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SOCIOPOLITICO</w:t>
            </w:r>
          </w:p>
        </w:tc>
        <w:tc>
          <w:tcPr>
            <w:tcW w:w="780" w:type="dxa"/>
            <w:hideMark/>
          </w:tcPr>
          <w:p w14:paraId="08C438A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HUELGAS, PAROS Y/O ASONADAS POR ACTIVIDADES DEL GOBIERNO, ACTOS DE TERRORISMO GENERADOS POR GRUPOS ARMADOS ILEGALES Y/O DAÑOS OCASIONADOS POR LA DELINCUENCIA COMÚN</w:t>
            </w:r>
          </w:p>
        </w:tc>
        <w:tc>
          <w:tcPr>
            <w:tcW w:w="753" w:type="dxa"/>
            <w:hideMark/>
          </w:tcPr>
          <w:p w14:paraId="6ABE2CE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PERDIDAS PARCIALES Y/O TOTALES DE MATERIALES, DAÑOS TOTALES O PARCIALES DE LOS EQUIPOS, DAÑOS TERCEROS, DETERIORO PARCIAL O TOTAL DEL AVANCE DE LA INFRAESTRUCTURA EJECUTADA</w:t>
            </w:r>
          </w:p>
        </w:tc>
        <w:tc>
          <w:tcPr>
            <w:tcW w:w="568" w:type="dxa"/>
            <w:hideMark/>
          </w:tcPr>
          <w:p w14:paraId="1CCD18F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475" w:type="dxa"/>
            <w:hideMark/>
          </w:tcPr>
          <w:p w14:paraId="0342C7E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33FB56B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3, 1</w:t>
            </w:r>
          </w:p>
        </w:tc>
        <w:tc>
          <w:tcPr>
            <w:tcW w:w="612" w:type="dxa"/>
            <w:hideMark/>
          </w:tcPr>
          <w:p w14:paraId="4C3A58A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7.298.432,74 </w:t>
            </w:r>
          </w:p>
        </w:tc>
        <w:tc>
          <w:tcPr>
            <w:tcW w:w="650" w:type="dxa"/>
            <w:hideMark/>
          </w:tcPr>
          <w:p w14:paraId="756751D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1,60%</w:t>
            </w:r>
          </w:p>
        </w:tc>
        <w:tc>
          <w:tcPr>
            <w:tcW w:w="544" w:type="dxa"/>
            <w:hideMark/>
          </w:tcPr>
          <w:p w14:paraId="17BC4D4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2DEE378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26D3E9A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2AB6FEA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495386A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DESDE LA OCURRENCIA DEL RIESGO</w:t>
            </w:r>
          </w:p>
        </w:tc>
        <w:tc>
          <w:tcPr>
            <w:tcW w:w="646" w:type="dxa"/>
            <w:hideMark/>
          </w:tcPr>
          <w:p w14:paraId="2462CEC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7DA27A2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DOCUMENTCIÓN APORTADA PARA TRAMITE DE LA CUENTA</w:t>
            </w:r>
          </w:p>
        </w:tc>
        <w:tc>
          <w:tcPr>
            <w:tcW w:w="630" w:type="dxa"/>
            <w:hideMark/>
          </w:tcPr>
          <w:p w14:paraId="5D354BA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60A396D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2EFB6EFB" w14:textId="77777777" w:rsidTr="00C20318">
        <w:trPr>
          <w:trHeight w:val="1290"/>
        </w:trPr>
        <w:tc>
          <w:tcPr>
            <w:tcW w:w="421" w:type="dxa"/>
            <w:noWrap/>
            <w:hideMark/>
          </w:tcPr>
          <w:p w14:paraId="383FCB6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729" w:type="dxa"/>
            <w:hideMark/>
          </w:tcPr>
          <w:p w14:paraId="0269F75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ROBOS, MALA MANIPULACIÓN DE EQUIPOS</w:t>
            </w:r>
          </w:p>
        </w:tc>
        <w:tc>
          <w:tcPr>
            <w:tcW w:w="536" w:type="dxa"/>
            <w:hideMark/>
          </w:tcPr>
          <w:p w14:paraId="3643B4A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5E764CE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7B71096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3A831CF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SOCIOPOLITICO</w:t>
            </w:r>
          </w:p>
        </w:tc>
        <w:tc>
          <w:tcPr>
            <w:tcW w:w="780" w:type="dxa"/>
            <w:hideMark/>
          </w:tcPr>
          <w:p w14:paraId="52FC354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DAÑOS Y PERJUICIOS OCASIONADOS POR UN TERCERO</w:t>
            </w:r>
          </w:p>
        </w:tc>
        <w:tc>
          <w:tcPr>
            <w:tcW w:w="753" w:type="dxa"/>
            <w:hideMark/>
          </w:tcPr>
          <w:p w14:paraId="3094F26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PERDIDAS PARCIALES Y/O TOTALES DE MATERIALES, DAÑOS TOTALES O PARCIALES DE LOS EQUIPOS, DAÑOS TERCEROS, DETERIORO PARCIAL O TOTAL DEL AVANCE DE LA INFRAESTRUCTURA EJECUTADA</w:t>
            </w:r>
          </w:p>
        </w:tc>
        <w:tc>
          <w:tcPr>
            <w:tcW w:w="568" w:type="dxa"/>
            <w:hideMark/>
          </w:tcPr>
          <w:p w14:paraId="5D24652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475" w:type="dxa"/>
            <w:hideMark/>
          </w:tcPr>
          <w:p w14:paraId="5849A68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1C8600E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3, 1</w:t>
            </w:r>
          </w:p>
        </w:tc>
        <w:tc>
          <w:tcPr>
            <w:tcW w:w="612" w:type="dxa"/>
            <w:hideMark/>
          </w:tcPr>
          <w:p w14:paraId="5BDC72E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7.298.432,74 </w:t>
            </w:r>
          </w:p>
        </w:tc>
        <w:tc>
          <w:tcPr>
            <w:tcW w:w="650" w:type="dxa"/>
            <w:hideMark/>
          </w:tcPr>
          <w:p w14:paraId="3332015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1,60%</w:t>
            </w:r>
          </w:p>
        </w:tc>
        <w:tc>
          <w:tcPr>
            <w:tcW w:w="544" w:type="dxa"/>
            <w:hideMark/>
          </w:tcPr>
          <w:p w14:paraId="2069F0C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1B47909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23819E9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3EAE864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4862808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DESDE LA OCURRENCIA DEL RIESGO</w:t>
            </w:r>
          </w:p>
        </w:tc>
        <w:tc>
          <w:tcPr>
            <w:tcW w:w="646" w:type="dxa"/>
            <w:hideMark/>
          </w:tcPr>
          <w:p w14:paraId="05E9850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LAS OBRAS</w:t>
            </w:r>
          </w:p>
        </w:tc>
        <w:tc>
          <w:tcPr>
            <w:tcW w:w="694" w:type="dxa"/>
            <w:hideMark/>
          </w:tcPr>
          <w:p w14:paraId="6AA00F3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OBLIGACIONES CONTRATISTA Y PLAN CONTINGENCIAS</w:t>
            </w:r>
          </w:p>
        </w:tc>
        <w:tc>
          <w:tcPr>
            <w:tcW w:w="630" w:type="dxa"/>
            <w:hideMark/>
          </w:tcPr>
          <w:p w14:paraId="19739B8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PERMANENTE</w:t>
            </w:r>
          </w:p>
        </w:tc>
        <w:tc>
          <w:tcPr>
            <w:tcW w:w="945" w:type="dxa"/>
            <w:hideMark/>
          </w:tcPr>
          <w:p w14:paraId="0321490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7A5335AA" w14:textId="77777777" w:rsidTr="00C20318">
        <w:trPr>
          <w:trHeight w:val="1965"/>
        </w:trPr>
        <w:tc>
          <w:tcPr>
            <w:tcW w:w="421" w:type="dxa"/>
            <w:noWrap/>
            <w:hideMark/>
          </w:tcPr>
          <w:p w14:paraId="7EDD5A1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lastRenderedPageBreak/>
              <w:t>4</w:t>
            </w:r>
          </w:p>
        </w:tc>
        <w:tc>
          <w:tcPr>
            <w:tcW w:w="729" w:type="dxa"/>
            <w:hideMark/>
          </w:tcPr>
          <w:p w14:paraId="0CD5289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ACTOS DE PARTE </w:t>
            </w:r>
            <w:proofErr w:type="gramStart"/>
            <w:r w:rsidRPr="00C20318">
              <w:rPr>
                <w:rFonts w:ascii="Century Gothic" w:hAnsi="Century Gothic" w:cs="Arial"/>
                <w:color w:val="000000"/>
                <w:sz w:val="10"/>
                <w:szCs w:val="10"/>
                <w:lang w:eastAsia="es-ES_tradnl"/>
              </w:rPr>
              <w:t>RELACIONADA  CON</w:t>
            </w:r>
            <w:proofErr w:type="gramEnd"/>
            <w:r w:rsidRPr="00C20318">
              <w:rPr>
                <w:rFonts w:ascii="Century Gothic" w:hAnsi="Century Gothic" w:cs="Arial"/>
                <w:color w:val="000000"/>
                <w:sz w:val="10"/>
                <w:szCs w:val="10"/>
                <w:lang w:eastAsia="es-ES_tradnl"/>
              </w:rPr>
              <w:t xml:space="preserve"> LOS PARTÍCIPES DE LOS PROCESOS</w:t>
            </w:r>
          </w:p>
        </w:tc>
        <w:tc>
          <w:tcPr>
            <w:tcW w:w="536" w:type="dxa"/>
            <w:hideMark/>
          </w:tcPr>
          <w:p w14:paraId="6882668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6DA4C5D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6547107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7250729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SOCIOPOLITICO</w:t>
            </w:r>
          </w:p>
        </w:tc>
        <w:tc>
          <w:tcPr>
            <w:tcW w:w="780" w:type="dxa"/>
            <w:hideMark/>
          </w:tcPr>
          <w:p w14:paraId="1348C2E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DEL CONTRATO OCASIONADO A CAUSA DE LA FALTA O DEFICIENCIA EN LA COORDINACIÓN INTERINSTITUCIONAL. CUANDO EL MUNICIPIO Y/O CONTRATISTA DEPENDEN DE DECISIONES DE OTRAS ENTIDADES OFICIALES. SE REFIERE A LOS MAYORES COSTOS ASUMIDOS POR EL CONTRATISTA DEBIDO A DEMORAS OCASIONADAS POR OTRAS ENTIDADES PÚBLICAS. RIESGO QUE ASUME EL MUNICIPIO, EXCEPTO PARA LOS PERMISOS AMBIENTALES A CARGO DEL CONTRATISTA</w:t>
            </w:r>
          </w:p>
        </w:tc>
        <w:tc>
          <w:tcPr>
            <w:tcW w:w="753" w:type="dxa"/>
            <w:hideMark/>
          </w:tcPr>
          <w:p w14:paraId="6969ECA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PERDIDAS DEL EQUILIBRIO CONTRACTUAL DERIVADOS DE LOS MAYORES COSTOS ASOCIADOS POR EL AUMENTO DE LOS COSTOS DE SOSTENIMIENTO DE LA EJECUCIÓN DE LA OBRAS, POR LA DISPONIBILIDAD DE RECURSOS DE FINANCIACIÓN EXTERNO (CRÉDITO), O LOS MAYORES COSTOS DE ADMINISTRACIÓN DE OBRA (SEDES, MAQUINARIA Y EQUIPO, PROVEEDORES...)  Y PRESTACIONES (PERSONAL ADMINISTRATIVO Y DE OBRA) DERIVADAS DE LOS INCUMPLIMIENTOS DE LOS RECURSO DE OBRA DESCRITOS EN LA FORMA DE PAGO.</w:t>
            </w:r>
          </w:p>
        </w:tc>
        <w:tc>
          <w:tcPr>
            <w:tcW w:w="568" w:type="dxa"/>
            <w:hideMark/>
          </w:tcPr>
          <w:p w14:paraId="1FA8F9F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475" w:type="dxa"/>
            <w:hideMark/>
          </w:tcPr>
          <w:p w14:paraId="308977A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w:t>
            </w:r>
          </w:p>
        </w:tc>
        <w:tc>
          <w:tcPr>
            <w:tcW w:w="598" w:type="dxa"/>
            <w:hideMark/>
          </w:tcPr>
          <w:p w14:paraId="24BF369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3, 2</w:t>
            </w:r>
          </w:p>
        </w:tc>
        <w:tc>
          <w:tcPr>
            <w:tcW w:w="612" w:type="dxa"/>
            <w:hideMark/>
          </w:tcPr>
          <w:p w14:paraId="569E86F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17.107.623,51 </w:t>
            </w:r>
          </w:p>
        </w:tc>
        <w:tc>
          <w:tcPr>
            <w:tcW w:w="650" w:type="dxa"/>
            <w:hideMark/>
          </w:tcPr>
          <w:p w14:paraId="1AAD77F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3,75%</w:t>
            </w:r>
          </w:p>
        </w:tc>
        <w:tc>
          <w:tcPr>
            <w:tcW w:w="544" w:type="dxa"/>
            <w:hideMark/>
          </w:tcPr>
          <w:p w14:paraId="0BE039B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3411F18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CONTRATANTE</w:t>
            </w:r>
          </w:p>
        </w:tc>
        <w:tc>
          <w:tcPr>
            <w:tcW w:w="535" w:type="dxa"/>
            <w:hideMark/>
          </w:tcPr>
          <w:p w14:paraId="2F6C752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6ED8401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791EF4F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INICIO DEL CONTRATO</w:t>
            </w:r>
          </w:p>
        </w:tc>
        <w:tc>
          <w:tcPr>
            <w:tcW w:w="646" w:type="dxa"/>
            <w:hideMark/>
          </w:tcPr>
          <w:p w14:paraId="33A970E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065CB2B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OBLIGACIONES CONTRATISTA Y PLAN CONTINGENCIAS</w:t>
            </w:r>
          </w:p>
        </w:tc>
        <w:tc>
          <w:tcPr>
            <w:tcW w:w="630" w:type="dxa"/>
            <w:hideMark/>
          </w:tcPr>
          <w:p w14:paraId="2D41192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PERMANENTE</w:t>
            </w:r>
          </w:p>
        </w:tc>
        <w:tc>
          <w:tcPr>
            <w:tcW w:w="945" w:type="dxa"/>
            <w:hideMark/>
          </w:tcPr>
          <w:p w14:paraId="356EE4F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64F10712" w14:textId="77777777" w:rsidTr="00C20318">
        <w:trPr>
          <w:trHeight w:val="1720"/>
        </w:trPr>
        <w:tc>
          <w:tcPr>
            <w:tcW w:w="421" w:type="dxa"/>
            <w:noWrap/>
            <w:hideMark/>
          </w:tcPr>
          <w:p w14:paraId="653EBBB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5</w:t>
            </w:r>
          </w:p>
        </w:tc>
        <w:tc>
          <w:tcPr>
            <w:tcW w:w="729" w:type="dxa"/>
            <w:hideMark/>
          </w:tcPr>
          <w:p w14:paraId="32B3FFD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ACTOS DE PARTE </w:t>
            </w:r>
            <w:proofErr w:type="gramStart"/>
            <w:r w:rsidRPr="00C20318">
              <w:rPr>
                <w:rFonts w:ascii="Century Gothic" w:hAnsi="Century Gothic" w:cs="Arial"/>
                <w:color w:val="000000"/>
                <w:sz w:val="10"/>
                <w:szCs w:val="10"/>
                <w:lang w:eastAsia="es-ES_tradnl"/>
              </w:rPr>
              <w:t>RELACIONADA  CON</w:t>
            </w:r>
            <w:proofErr w:type="gramEnd"/>
            <w:r w:rsidRPr="00C20318">
              <w:rPr>
                <w:rFonts w:ascii="Century Gothic" w:hAnsi="Century Gothic" w:cs="Arial"/>
                <w:color w:val="000000"/>
                <w:sz w:val="10"/>
                <w:szCs w:val="10"/>
                <w:lang w:eastAsia="es-ES_tradnl"/>
              </w:rPr>
              <w:t xml:space="preserve"> PROVEEDORES</w:t>
            </w:r>
          </w:p>
        </w:tc>
        <w:tc>
          <w:tcPr>
            <w:tcW w:w="536" w:type="dxa"/>
            <w:hideMark/>
          </w:tcPr>
          <w:p w14:paraId="3E69F8C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ESPECIFICO</w:t>
            </w:r>
          </w:p>
        </w:tc>
        <w:tc>
          <w:tcPr>
            <w:tcW w:w="464" w:type="dxa"/>
            <w:hideMark/>
          </w:tcPr>
          <w:p w14:paraId="027A9E5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3518A56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0D8F273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OPERACIONALES</w:t>
            </w:r>
          </w:p>
        </w:tc>
        <w:tc>
          <w:tcPr>
            <w:tcW w:w="780" w:type="dxa"/>
            <w:hideMark/>
          </w:tcPr>
          <w:p w14:paraId="47DF05B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ERRORES, FALLAS, INCUMPLIMIENTOS, INSUFICIENCIAS O EVENTOS CON ORIGEN </w:t>
            </w:r>
            <w:proofErr w:type="gramStart"/>
            <w:r w:rsidRPr="00C20318">
              <w:rPr>
                <w:rFonts w:ascii="Century Gothic" w:hAnsi="Century Gothic" w:cs="Arial"/>
                <w:color w:val="000000"/>
                <w:sz w:val="10"/>
                <w:szCs w:val="10"/>
                <w:lang w:eastAsia="es-ES_tradnl"/>
              </w:rPr>
              <w:t>EN  TRABAJOS</w:t>
            </w:r>
            <w:proofErr w:type="gramEnd"/>
            <w:r w:rsidRPr="00C20318">
              <w:rPr>
                <w:rFonts w:ascii="Century Gothic" w:hAnsi="Century Gothic" w:cs="Arial"/>
                <w:color w:val="000000"/>
                <w:sz w:val="10"/>
                <w:szCs w:val="10"/>
                <w:lang w:eastAsia="es-ES_tradnl"/>
              </w:rPr>
              <w:t xml:space="preserve"> NO EJECUTADOS DIRECTAMENTE POR EL CONTRATISTA O POR SU CUENTA, FALLA HUMANA DE OTRO DISTINTO DE SUS EMPLEADOS, ACTOS O EVENTOS EN PROVEEDORES, FILIALES, SUBORDINADAS U OTROS CONTRATISTAS VINCULADOS CON EL CONTRATISTA PRINCIPAL, MAYOR O </w:t>
            </w:r>
            <w:r w:rsidRPr="00C20318">
              <w:rPr>
                <w:rFonts w:ascii="Century Gothic" w:hAnsi="Century Gothic" w:cs="Arial"/>
                <w:color w:val="000000"/>
                <w:sz w:val="10"/>
                <w:szCs w:val="10"/>
                <w:lang w:eastAsia="es-ES_tradnl"/>
              </w:rPr>
              <w:lastRenderedPageBreak/>
              <w:t>MENOR CANTIDAD DE OBRA Y OTROS SIMILARES.</w:t>
            </w:r>
          </w:p>
        </w:tc>
        <w:tc>
          <w:tcPr>
            <w:tcW w:w="753" w:type="dxa"/>
            <w:hideMark/>
          </w:tcPr>
          <w:p w14:paraId="51EB674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lastRenderedPageBreak/>
              <w:t xml:space="preserve">SE LE TRANSFIERE AL CONTRATISTA EN CUANTO A LA PERDIDA DE ELEMENTOS, DAÑOS DE LOS MISMOS O DAÑOS </w:t>
            </w:r>
            <w:proofErr w:type="gramStart"/>
            <w:r w:rsidRPr="00C20318">
              <w:rPr>
                <w:rFonts w:ascii="Century Gothic" w:hAnsi="Century Gothic" w:cs="Arial"/>
                <w:color w:val="000000"/>
                <w:sz w:val="10"/>
                <w:szCs w:val="10"/>
                <w:lang w:eastAsia="es-ES_tradnl"/>
              </w:rPr>
              <w:t>A  LOS</w:t>
            </w:r>
            <w:proofErr w:type="gramEnd"/>
            <w:r w:rsidRPr="00C20318">
              <w:rPr>
                <w:rFonts w:ascii="Century Gothic" w:hAnsi="Century Gothic" w:cs="Arial"/>
                <w:color w:val="000000"/>
                <w:sz w:val="10"/>
                <w:szCs w:val="10"/>
                <w:lang w:eastAsia="es-ES_tradnl"/>
              </w:rPr>
              <w:t xml:space="preserve"> PREDIOS QUE FORMAN PARTE  DEL PATRIMONIO INMOBILIARIO MUNICIPAL DURANTE LA ENTREGA DE LOS MISMOS, ASÍ  COMO LA FALTA DE OPORTUNIDAD EN LA ENTREGA DE LOS TRABAJOS CONTRATADOS. </w:t>
            </w:r>
          </w:p>
        </w:tc>
        <w:tc>
          <w:tcPr>
            <w:tcW w:w="568" w:type="dxa"/>
            <w:hideMark/>
          </w:tcPr>
          <w:p w14:paraId="4EE58C7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4</w:t>
            </w:r>
          </w:p>
        </w:tc>
        <w:tc>
          <w:tcPr>
            <w:tcW w:w="475" w:type="dxa"/>
            <w:hideMark/>
          </w:tcPr>
          <w:p w14:paraId="574ABF9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598" w:type="dxa"/>
            <w:hideMark/>
          </w:tcPr>
          <w:p w14:paraId="69A5088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4, 3</w:t>
            </w:r>
          </w:p>
        </w:tc>
        <w:tc>
          <w:tcPr>
            <w:tcW w:w="612" w:type="dxa"/>
            <w:hideMark/>
          </w:tcPr>
          <w:p w14:paraId="7B45FD5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36.909.168,76 </w:t>
            </w:r>
          </w:p>
        </w:tc>
        <w:tc>
          <w:tcPr>
            <w:tcW w:w="650" w:type="dxa"/>
            <w:hideMark/>
          </w:tcPr>
          <w:p w14:paraId="4715A11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8,10%</w:t>
            </w:r>
          </w:p>
        </w:tc>
        <w:tc>
          <w:tcPr>
            <w:tcW w:w="544" w:type="dxa"/>
            <w:hideMark/>
          </w:tcPr>
          <w:p w14:paraId="23D1D42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43C401F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518BD32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7C30F72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7D87826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INICIO DEL CONTRATO</w:t>
            </w:r>
          </w:p>
        </w:tc>
        <w:tc>
          <w:tcPr>
            <w:tcW w:w="646" w:type="dxa"/>
            <w:hideMark/>
          </w:tcPr>
          <w:p w14:paraId="52A218B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2F9AC4A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OBLIGACIONES CONTRATISTA Y PLAN CONTINGENCIAS</w:t>
            </w:r>
          </w:p>
        </w:tc>
        <w:tc>
          <w:tcPr>
            <w:tcW w:w="630" w:type="dxa"/>
            <w:hideMark/>
          </w:tcPr>
          <w:p w14:paraId="5F76050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PERMANENTE</w:t>
            </w:r>
          </w:p>
        </w:tc>
        <w:tc>
          <w:tcPr>
            <w:tcW w:w="945" w:type="dxa"/>
            <w:hideMark/>
          </w:tcPr>
          <w:p w14:paraId="4DAC457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REDUCIR</w:t>
            </w:r>
          </w:p>
        </w:tc>
      </w:tr>
      <w:tr w:rsidR="00C20318" w:rsidRPr="00C20318" w14:paraId="263691B2" w14:textId="77777777" w:rsidTr="00C20318">
        <w:trPr>
          <w:trHeight w:val="1320"/>
        </w:trPr>
        <w:tc>
          <w:tcPr>
            <w:tcW w:w="421" w:type="dxa"/>
            <w:noWrap/>
            <w:hideMark/>
          </w:tcPr>
          <w:p w14:paraId="0DA9238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6</w:t>
            </w:r>
          </w:p>
        </w:tc>
        <w:tc>
          <w:tcPr>
            <w:tcW w:w="729" w:type="dxa"/>
            <w:hideMark/>
          </w:tcPr>
          <w:p w14:paraId="2CC460F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HECHOS DE LAS COSAS </w:t>
            </w:r>
          </w:p>
        </w:tc>
        <w:tc>
          <w:tcPr>
            <w:tcW w:w="536" w:type="dxa"/>
            <w:hideMark/>
          </w:tcPr>
          <w:p w14:paraId="04C8875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ESPECIFICO</w:t>
            </w:r>
          </w:p>
        </w:tc>
        <w:tc>
          <w:tcPr>
            <w:tcW w:w="464" w:type="dxa"/>
            <w:hideMark/>
          </w:tcPr>
          <w:p w14:paraId="1BFC395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3630B5A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05B62CA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OPERACIONALES</w:t>
            </w:r>
          </w:p>
        </w:tc>
        <w:tc>
          <w:tcPr>
            <w:tcW w:w="780" w:type="dxa"/>
            <w:hideMark/>
          </w:tcPr>
          <w:p w14:paraId="38DBB9B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INCENDIOS, ROTURAS, FILTRACIONES, DERRAMES, EXPLOSIONES, FALLA </w:t>
            </w:r>
            <w:proofErr w:type="gramStart"/>
            <w:r w:rsidRPr="00C20318">
              <w:rPr>
                <w:rFonts w:ascii="Century Gothic" w:hAnsi="Century Gothic" w:cs="Arial"/>
                <w:color w:val="000000"/>
                <w:sz w:val="10"/>
                <w:szCs w:val="10"/>
                <w:lang w:eastAsia="es-ES_tradnl"/>
              </w:rPr>
              <w:t>MECÁNICA  O</w:t>
            </w:r>
            <w:proofErr w:type="gramEnd"/>
            <w:r w:rsidRPr="00C20318">
              <w:rPr>
                <w:rFonts w:ascii="Century Gothic" w:hAnsi="Century Gothic" w:cs="Arial"/>
                <w:color w:val="000000"/>
                <w:sz w:val="10"/>
                <w:szCs w:val="10"/>
                <w:lang w:eastAsia="es-ES_tradnl"/>
              </w:rPr>
              <w:t xml:space="preserve"> CUALQUIER OTRO TIPO DE EVENTOS QUE AFECTEN LOS BIENES, INSTALACIONES, EQUIPOS Y MAQUINARIA DEL CONTRATISTA Y OTROS SIMILARES.  </w:t>
            </w:r>
          </w:p>
        </w:tc>
        <w:tc>
          <w:tcPr>
            <w:tcW w:w="753" w:type="dxa"/>
            <w:hideMark/>
          </w:tcPr>
          <w:p w14:paraId="607174E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SE LE TRANSFIERE AL CONTRATISTA EN CUANTO A LOS TALES INCUMPLIMIENTOS O INSUFICIENCIAS RETRASA LA ENTREGA DE LOS MISMOS, </w:t>
            </w:r>
            <w:proofErr w:type="gramStart"/>
            <w:r w:rsidRPr="00C20318">
              <w:rPr>
                <w:rFonts w:ascii="Century Gothic" w:hAnsi="Century Gothic" w:cs="Arial"/>
                <w:color w:val="000000"/>
                <w:sz w:val="10"/>
                <w:szCs w:val="10"/>
                <w:lang w:eastAsia="es-ES_tradnl"/>
              </w:rPr>
              <w:t>ASÍ  COMO</w:t>
            </w:r>
            <w:proofErr w:type="gramEnd"/>
            <w:r w:rsidRPr="00C20318">
              <w:rPr>
                <w:rFonts w:ascii="Century Gothic" w:hAnsi="Century Gothic" w:cs="Arial"/>
                <w:color w:val="000000"/>
                <w:sz w:val="10"/>
                <w:szCs w:val="10"/>
                <w:lang w:eastAsia="es-ES_tradnl"/>
              </w:rPr>
              <w:t xml:space="preserve"> LA FALTA DE OPORTUNIDAD EN LA ENTREGA DE LOS TRABAJOS CONTRATADOS. </w:t>
            </w:r>
          </w:p>
        </w:tc>
        <w:tc>
          <w:tcPr>
            <w:tcW w:w="568" w:type="dxa"/>
            <w:hideMark/>
          </w:tcPr>
          <w:p w14:paraId="7B9EBBA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w:t>
            </w:r>
          </w:p>
        </w:tc>
        <w:tc>
          <w:tcPr>
            <w:tcW w:w="475" w:type="dxa"/>
            <w:hideMark/>
          </w:tcPr>
          <w:p w14:paraId="1392BC0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7F45479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3, 1</w:t>
            </w:r>
          </w:p>
        </w:tc>
        <w:tc>
          <w:tcPr>
            <w:tcW w:w="612" w:type="dxa"/>
            <w:hideMark/>
          </w:tcPr>
          <w:p w14:paraId="1FD94CC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7.298.432,74 </w:t>
            </w:r>
          </w:p>
        </w:tc>
        <w:tc>
          <w:tcPr>
            <w:tcW w:w="650" w:type="dxa"/>
            <w:hideMark/>
          </w:tcPr>
          <w:p w14:paraId="6E62E96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1,60%</w:t>
            </w:r>
          </w:p>
        </w:tc>
        <w:tc>
          <w:tcPr>
            <w:tcW w:w="544" w:type="dxa"/>
            <w:hideMark/>
          </w:tcPr>
          <w:p w14:paraId="63A1B57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4DBC73E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51B7F3B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190D51D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2F08FB2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INICIO DEL CONTRATO Y FECHA DE REPORTE DEL DAÑO</w:t>
            </w:r>
          </w:p>
        </w:tc>
        <w:tc>
          <w:tcPr>
            <w:tcW w:w="646" w:type="dxa"/>
            <w:hideMark/>
          </w:tcPr>
          <w:p w14:paraId="06979F1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01BE4D3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VERIFICACIÓN OBLIGACIONES CONTRATISTA </w:t>
            </w:r>
          </w:p>
        </w:tc>
        <w:tc>
          <w:tcPr>
            <w:tcW w:w="630" w:type="dxa"/>
            <w:hideMark/>
          </w:tcPr>
          <w:p w14:paraId="7CA4B1A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MOMENTO DE LA OCURRENCIA DEL REPORTE DEL DAÑO</w:t>
            </w:r>
          </w:p>
        </w:tc>
        <w:tc>
          <w:tcPr>
            <w:tcW w:w="945" w:type="dxa"/>
            <w:hideMark/>
          </w:tcPr>
          <w:p w14:paraId="55407E3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REDUCIR</w:t>
            </w:r>
          </w:p>
        </w:tc>
      </w:tr>
      <w:tr w:rsidR="00C20318" w:rsidRPr="00C20318" w14:paraId="0D0C0EEA" w14:textId="77777777" w:rsidTr="00C20318">
        <w:trPr>
          <w:trHeight w:val="1350"/>
        </w:trPr>
        <w:tc>
          <w:tcPr>
            <w:tcW w:w="421" w:type="dxa"/>
            <w:noWrap/>
            <w:hideMark/>
          </w:tcPr>
          <w:p w14:paraId="1680165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7</w:t>
            </w:r>
          </w:p>
        </w:tc>
        <w:tc>
          <w:tcPr>
            <w:tcW w:w="729" w:type="dxa"/>
            <w:hideMark/>
          </w:tcPr>
          <w:p w14:paraId="4AE67FD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CUANDO SE MODIFIQUEN, ADICIONE, CREEN NORMATIVIDAD, REQUERIMIENTOS, PROCEDIMIENTOS U ACTUALIZACIONES </w:t>
            </w:r>
          </w:p>
        </w:tc>
        <w:tc>
          <w:tcPr>
            <w:tcW w:w="536" w:type="dxa"/>
            <w:hideMark/>
          </w:tcPr>
          <w:p w14:paraId="07C352B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ESPECIFICO</w:t>
            </w:r>
          </w:p>
        </w:tc>
        <w:tc>
          <w:tcPr>
            <w:tcW w:w="464" w:type="dxa"/>
            <w:hideMark/>
          </w:tcPr>
          <w:p w14:paraId="6B48263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49EFFF7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1728B4F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REGULATORIOS</w:t>
            </w:r>
          </w:p>
        </w:tc>
        <w:tc>
          <w:tcPr>
            <w:tcW w:w="780" w:type="dxa"/>
            <w:hideMark/>
          </w:tcPr>
          <w:p w14:paraId="0FB3A38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OCASIONADO POR CAMBIOS EN LA NORMATIVIDAD TÉCNICA DURANTE LA EJECUCIÓN DEL PROYECTO. RIESGO QUE ASUME EL MUNICIPIO</w:t>
            </w:r>
          </w:p>
        </w:tc>
        <w:tc>
          <w:tcPr>
            <w:tcW w:w="753" w:type="dxa"/>
            <w:hideMark/>
          </w:tcPr>
          <w:p w14:paraId="799446A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EL PRESENTE RIESGO SE SEGÚN SU IMPACTO EN EL PROYECTO PODRÍA CAUSAR RETRASOS AJUSTES TÉCNICOS, O AJUSTES CONSTRUCTIVOS (DEMOLICIONES Y OTROS</w:t>
            </w:r>
            <w:proofErr w:type="gramStart"/>
            <w:r w:rsidRPr="00C20318">
              <w:rPr>
                <w:rFonts w:ascii="Century Gothic" w:hAnsi="Century Gothic" w:cs="Arial"/>
                <w:color w:val="000000"/>
                <w:sz w:val="10"/>
                <w:szCs w:val="10"/>
                <w:lang w:eastAsia="es-ES_tradnl"/>
              </w:rPr>
              <w:t>),  INCONVENIENCIA</w:t>
            </w:r>
            <w:proofErr w:type="gramEnd"/>
            <w:r w:rsidRPr="00C20318">
              <w:rPr>
                <w:rFonts w:ascii="Century Gothic" w:hAnsi="Century Gothic" w:cs="Arial"/>
                <w:color w:val="000000"/>
                <w:sz w:val="10"/>
                <w:szCs w:val="10"/>
                <w:lang w:eastAsia="es-ES_tradnl"/>
              </w:rPr>
              <w:t xml:space="preserve"> TÉCNICA DE EJECUCIÓN.</w:t>
            </w:r>
          </w:p>
        </w:tc>
        <w:tc>
          <w:tcPr>
            <w:tcW w:w="568" w:type="dxa"/>
            <w:hideMark/>
          </w:tcPr>
          <w:p w14:paraId="4868719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475" w:type="dxa"/>
            <w:hideMark/>
          </w:tcPr>
          <w:p w14:paraId="69DB0C7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137A242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1, 1</w:t>
            </w:r>
          </w:p>
        </w:tc>
        <w:tc>
          <w:tcPr>
            <w:tcW w:w="612" w:type="dxa"/>
            <w:hideMark/>
          </w:tcPr>
          <w:p w14:paraId="4FCA77E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2.848.491,28 </w:t>
            </w:r>
          </w:p>
        </w:tc>
        <w:tc>
          <w:tcPr>
            <w:tcW w:w="650" w:type="dxa"/>
            <w:hideMark/>
          </w:tcPr>
          <w:p w14:paraId="2566196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0,63%</w:t>
            </w:r>
          </w:p>
        </w:tc>
        <w:tc>
          <w:tcPr>
            <w:tcW w:w="544" w:type="dxa"/>
            <w:hideMark/>
          </w:tcPr>
          <w:p w14:paraId="58E876E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MEDIO</w:t>
            </w:r>
          </w:p>
        </w:tc>
        <w:tc>
          <w:tcPr>
            <w:tcW w:w="645" w:type="dxa"/>
            <w:hideMark/>
          </w:tcPr>
          <w:p w14:paraId="69256B0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5B86FA5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643E30B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 Y SUPERVISOR</w:t>
            </w:r>
          </w:p>
        </w:tc>
        <w:tc>
          <w:tcPr>
            <w:tcW w:w="594" w:type="dxa"/>
            <w:hideMark/>
          </w:tcPr>
          <w:p w14:paraId="40E0ED1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0FF5A10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5D2EFFB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NORMATIVIDAD VIGENTE</w:t>
            </w:r>
          </w:p>
        </w:tc>
        <w:tc>
          <w:tcPr>
            <w:tcW w:w="630" w:type="dxa"/>
            <w:hideMark/>
          </w:tcPr>
          <w:p w14:paraId="6F15644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22B4CC3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EVITAR</w:t>
            </w:r>
          </w:p>
        </w:tc>
      </w:tr>
      <w:tr w:rsidR="00C20318" w:rsidRPr="00C20318" w14:paraId="2796299E" w14:textId="77777777" w:rsidTr="00C20318">
        <w:trPr>
          <w:trHeight w:val="1340"/>
        </w:trPr>
        <w:tc>
          <w:tcPr>
            <w:tcW w:w="421" w:type="dxa"/>
            <w:noWrap/>
            <w:hideMark/>
          </w:tcPr>
          <w:p w14:paraId="22A4D6D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8</w:t>
            </w:r>
          </w:p>
        </w:tc>
        <w:tc>
          <w:tcPr>
            <w:tcW w:w="729" w:type="dxa"/>
            <w:hideMark/>
          </w:tcPr>
          <w:p w14:paraId="28D1BF0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EL NO PAGO OPORTUNO </w:t>
            </w:r>
          </w:p>
        </w:tc>
        <w:tc>
          <w:tcPr>
            <w:tcW w:w="536" w:type="dxa"/>
            <w:hideMark/>
          </w:tcPr>
          <w:p w14:paraId="119B5F9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ESPECIFICO</w:t>
            </w:r>
          </w:p>
        </w:tc>
        <w:tc>
          <w:tcPr>
            <w:tcW w:w="464" w:type="dxa"/>
            <w:hideMark/>
          </w:tcPr>
          <w:p w14:paraId="10AF061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258958D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21227B6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FINANCIERO</w:t>
            </w:r>
          </w:p>
        </w:tc>
        <w:tc>
          <w:tcPr>
            <w:tcW w:w="780" w:type="dxa"/>
            <w:hideMark/>
          </w:tcPr>
          <w:p w14:paraId="42E456C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RETRASOS EN LOS PAGOS POR PARTE DE LA ENTIDAD CONTRATANTE</w:t>
            </w:r>
          </w:p>
        </w:tc>
        <w:tc>
          <w:tcPr>
            <w:tcW w:w="753" w:type="dxa"/>
            <w:hideMark/>
          </w:tcPr>
          <w:p w14:paraId="4CE2445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PERDIDAS DEL EQUILIBRIO CONTRACTUALES DERIVADOS DE LOS MAYORES COSTOS DE ADMINISTRACIÓN DE OBRA (SEDES, MAQUINARIA Y EQUIPO, PROVEEDORES...)  Y PRESTACIONES (PERSONAL ADMINISTRATIVO Y DE OBRA) DERIVADAS DE LOS INCUMPLIMIENTOS DE LOS RECURSO DE </w:t>
            </w:r>
            <w:r w:rsidRPr="00C20318">
              <w:rPr>
                <w:rFonts w:ascii="Century Gothic" w:hAnsi="Century Gothic" w:cs="Arial"/>
                <w:color w:val="000000"/>
                <w:sz w:val="10"/>
                <w:szCs w:val="10"/>
                <w:lang w:eastAsia="es-ES_tradnl"/>
              </w:rPr>
              <w:lastRenderedPageBreak/>
              <w:t>OBRA DESCRITOS EN LA FORMA DE PAGO.</w:t>
            </w:r>
          </w:p>
        </w:tc>
        <w:tc>
          <w:tcPr>
            <w:tcW w:w="568" w:type="dxa"/>
            <w:hideMark/>
          </w:tcPr>
          <w:p w14:paraId="1F64D05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lastRenderedPageBreak/>
              <w:t>2</w:t>
            </w:r>
          </w:p>
        </w:tc>
        <w:tc>
          <w:tcPr>
            <w:tcW w:w="475" w:type="dxa"/>
            <w:hideMark/>
          </w:tcPr>
          <w:p w14:paraId="79987FE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6A70926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2, 1</w:t>
            </w:r>
          </w:p>
        </w:tc>
        <w:tc>
          <w:tcPr>
            <w:tcW w:w="612" w:type="dxa"/>
            <w:hideMark/>
          </w:tcPr>
          <w:p w14:paraId="7BAD0AB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5.179.353,36 </w:t>
            </w:r>
          </w:p>
        </w:tc>
        <w:tc>
          <w:tcPr>
            <w:tcW w:w="650" w:type="dxa"/>
            <w:hideMark/>
          </w:tcPr>
          <w:p w14:paraId="388159D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1,14%</w:t>
            </w:r>
          </w:p>
        </w:tc>
        <w:tc>
          <w:tcPr>
            <w:tcW w:w="544" w:type="dxa"/>
            <w:hideMark/>
          </w:tcPr>
          <w:p w14:paraId="55603FA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6877E75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CONTRATANTE</w:t>
            </w:r>
          </w:p>
        </w:tc>
        <w:tc>
          <w:tcPr>
            <w:tcW w:w="535" w:type="dxa"/>
            <w:hideMark/>
          </w:tcPr>
          <w:p w14:paraId="5AF34C2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42BE241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137AE2E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6C60081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DEL SERVICIO</w:t>
            </w:r>
          </w:p>
        </w:tc>
        <w:tc>
          <w:tcPr>
            <w:tcW w:w="694" w:type="dxa"/>
            <w:hideMark/>
          </w:tcPr>
          <w:p w14:paraId="3B2264F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LOS RECURSOS DE LA ENTIDAD EN CAJA PAC</w:t>
            </w:r>
          </w:p>
        </w:tc>
        <w:tc>
          <w:tcPr>
            <w:tcW w:w="630" w:type="dxa"/>
            <w:hideMark/>
          </w:tcPr>
          <w:p w14:paraId="318759A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3086346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EVITAR</w:t>
            </w:r>
          </w:p>
        </w:tc>
      </w:tr>
      <w:tr w:rsidR="00C20318" w:rsidRPr="00C20318" w14:paraId="31730A94" w14:textId="77777777" w:rsidTr="00C20318">
        <w:trPr>
          <w:trHeight w:val="1340"/>
        </w:trPr>
        <w:tc>
          <w:tcPr>
            <w:tcW w:w="421" w:type="dxa"/>
            <w:noWrap/>
            <w:hideMark/>
          </w:tcPr>
          <w:p w14:paraId="46C75B1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9</w:t>
            </w:r>
          </w:p>
        </w:tc>
        <w:tc>
          <w:tcPr>
            <w:tcW w:w="729" w:type="dxa"/>
            <w:hideMark/>
          </w:tcPr>
          <w:p w14:paraId="68FDEF7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REFORMA TRIBUTARIA</w:t>
            </w:r>
          </w:p>
        </w:tc>
        <w:tc>
          <w:tcPr>
            <w:tcW w:w="536" w:type="dxa"/>
            <w:hideMark/>
          </w:tcPr>
          <w:p w14:paraId="70D7D8C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23A5425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15EF901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2276FBC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FINANCIERO</w:t>
            </w:r>
          </w:p>
        </w:tc>
        <w:tc>
          <w:tcPr>
            <w:tcW w:w="780" w:type="dxa"/>
            <w:hideMark/>
          </w:tcPr>
          <w:p w14:paraId="49A5B0B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REFORMA TRIBUTARIA</w:t>
            </w:r>
          </w:p>
        </w:tc>
        <w:tc>
          <w:tcPr>
            <w:tcW w:w="753" w:type="dxa"/>
            <w:hideMark/>
          </w:tcPr>
          <w:p w14:paraId="7479823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AUMENTO DE LA BASE PARA TRIBUTAR</w:t>
            </w:r>
          </w:p>
        </w:tc>
        <w:tc>
          <w:tcPr>
            <w:tcW w:w="568" w:type="dxa"/>
            <w:hideMark/>
          </w:tcPr>
          <w:p w14:paraId="7485967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475" w:type="dxa"/>
            <w:hideMark/>
          </w:tcPr>
          <w:p w14:paraId="43E9C09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798D988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1, 1</w:t>
            </w:r>
          </w:p>
        </w:tc>
        <w:tc>
          <w:tcPr>
            <w:tcW w:w="612" w:type="dxa"/>
            <w:hideMark/>
          </w:tcPr>
          <w:p w14:paraId="4822283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5.182.815,66 </w:t>
            </w:r>
          </w:p>
        </w:tc>
        <w:tc>
          <w:tcPr>
            <w:tcW w:w="650" w:type="dxa"/>
            <w:hideMark/>
          </w:tcPr>
          <w:p w14:paraId="616CF16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1,14%</w:t>
            </w:r>
          </w:p>
        </w:tc>
        <w:tc>
          <w:tcPr>
            <w:tcW w:w="544" w:type="dxa"/>
            <w:hideMark/>
          </w:tcPr>
          <w:p w14:paraId="2B753A0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4B40214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764A12A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12BAC42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2202B44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5CCBBC0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0EF9FC8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275A0E5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44E572D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5ECE9E52" w14:textId="77777777" w:rsidTr="00C20318">
        <w:trPr>
          <w:trHeight w:val="1560"/>
        </w:trPr>
        <w:tc>
          <w:tcPr>
            <w:tcW w:w="421" w:type="dxa"/>
            <w:noWrap/>
            <w:hideMark/>
          </w:tcPr>
          <w:p w14:paraId="2569A84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10</w:t>
            </w:r>
          </w:p>
        </w:tc>
        <w:tc>
          <w:tcPr>
            <w:tcW w:w="729" w:type="dxa"/>
            <w:hideMark/>
          </w:tcPr>
          <w:p w14:paraId="6168B34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AFECTACIÓN DEL </w:t>
            </w:r>
            <w:proofErr w:type="gramStart"/>
            <w:r w:rsidRPr="00C20318">
              <w:rPr>
                <w:rFonts w:ascii="Century Gothic" w:hAnsi="Century Gothic" w:cs="Arial"/>
                <w:color w:val="000000"/>
                <w:sz w:val="10"/>
                <w:szCs w:val="10"/>
                <w:lang w:eastAsia="es-ES_tradnl"/>
              </w:rPr>
              <w:t>CONTRATO  POR</w:t>
            </w:r>
            <w:proofErr w:type="gramEnd"/>
            <w:r w:rsidRPr="00C20318">
              <w:rPr>
                <w:rFonts w:ascii="Century Gothic" w:hAnsi="Century Gothic" w:cs="Arial"/>
                <w:color w:val="000000"/>
                <w:sz w:val="10"/>
                <w:szCs w:val="10"/>
                <w:lang w:eastAsia="es-ES_tradnl"/>
              </w:rPr>
              <w:t xml:space="preserve"> CASO FORTUITO Y FUERZA MAYOR </w:t>
            </w:r>
          </w:p>
        </w:tc>
        <w:tc>
          <w:tcPr>
            <w:tcW w:w="536" w:type="dxa"/>
            <w:hideMark/>
          </w:tcPr>
          <w:p w14:paraId="08B3B48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7121FFF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4065FE9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23E5194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FINANCIERO</w:t>
            </w:r>
          </w:p>
        </w:tc>
        <w:tc>
          <w:tcPr>
            <w:tcW w:w="780" w:type="dxa"/>
            <w:hideMark/>
          </w:tcPr>
          <w:p w14:paraId="2706E57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PRESENTADO POR ACCIDENTALIDAD Y/O MUERTE DE PERSONAL DEL CONTRATISTA DESDE LA ADJUDICACIÓN Y/O DURANTE LA EJECUCIÓN DEL CONTRATO, POR CAUSAS EXTERNAS AL PROYECTO O POR AUSENCIA O FALTA O DEFICIENCIA DEL SISTEMA DE SEGURIDAD INDUSTRIAL DE LA OBRA. RIESGO QUE ASUME EL CONTRATISTA.</w:t>
            </w:r>
          </w:p>
        </w:tc>
        <w:tc>
          <w:tcPr>
            <w:tcW w:w="753" w:type="dxa"/>
            <w:hideMark/>
          </w:tcPr>
          <w:p w14:paraId="4E9E2D6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(SE </w:t>
            </w:r>
            <w:proofErr w:type="gramStart"/>
            <w:r w:rsidRPr="00C20318">
              <w:rPr>
                <w:rFonts w:ascii="Century Gothic" w:hAnsi="Century Gothic" w:cs="Arial"/>
                <w:color w:val="000000"/>
                <w:sz w:val="10"/>
                <w:szCs w:val="10"/>
                <w:lang w:eastAsia="es-ES_tradnl"/>
              </w:rPr>
              <w:t>TRANSFIERE  AL</w:t>
            </w:r>
            <w:proofErr w:type="gramEnd"/>
            <w:r w:rsidRPr="00C20318">
              <w:rPr>
                <w:rFonts w:ascii="Century Gothic" w:hAnsi="Century Gothic" w:cs="Arial"/>
                <w:color w:val="000000"/>
                <w:sz w:val="10"/>
                <w:szCs w:val="10"/>
                <w:lang w:eastAsia="es-ES_tradnl"/>
              </w:rPr>
              <w:t xml:space="preserve"> CONTRATISTA) EN CUANTO SE DE TALES EVENTOS DERIVAN SUSPENSIONES, DEMANDAS E INDEMNIZACIONES QUE AFECTAN LA ESTABILIDAD FINANCIERA DE LA OBRA Y DEL CONTRATISTA</w:t>
            </w:r>
          </w:p>
        </w:tc>
        <w:tc>
          <w:tcPr>
            <w:tcW w:w="568" w:type="dxa"/>
            <w:hideMark/>
          </w:tcPr>
          <w:p w14:paraId="25405EC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w:t>
            </w:r>
          </w:p>
        </w:tc>
        <w:tc>
          <w:tcPr>
            <w:tcW w:w="475" w:type="dxa"/>
            <w:hideMark/>
          </w:tcPr>
          <w:p w14:paraId="317FA42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08C9FD3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2, 1</w:t>
            </w:r>
          </w:p>
        </w:tc>
        <w:tc>
          <w:tcPr>
            <w:tcW w:w="612" w:type="dxa"/>
            <w:hideMark/>
          </w:tcPr>
          <w:p w14:paraId="4803B03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5.179.353,36 </w:t>
            </w:r>
          </w:p>
        </w:tc>
        <w:tc>
          <w:tcPr>
            <w:tcW w:w="650" w:type="dxa"/>
            <w:hideMark/>
          </w:tcPr>
          <w:p w14:paraId="508B551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1,14%</w:t>
            </w:r>
          </w:p>
        </w:tc>
        <w:tc>
          <w:tcPr>
            <w:tcW w:w="544" w:type="dxa"/>
            <w:hideMark/>
          </w:tcPr>
          <w:p w14:paraId="0C4D296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073A358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CONTRATANTE</w:t>
            </w:r>
          </w:p>
        </w:tc>
        <w:tc>
          <w:tcPr>
            <w:tcW w:w="535" w:type="dxa"/>
            <w:hideMark/>
          </w:tcPr>
          <w:p w14:paraId="5F243F1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0C95B81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66C4168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0BA23B6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69CC9A0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693DFBA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09ECDC5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49290F3F" w14:textId="77777777" w:rsidTr="00C20318">
        <w:trPr>
          <w:trHeight w:val="1340"/>
        </w:trPr>
        <w:tc>
          <w:tcPr>
            <w:tcW w:w="421" w:type="dxa"/>
            <w:noWrap/>
            <w:hideMark/>
          </w:tcPr>
          <w:p w14:paraId="379C950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11</w:t>
            </w:r>
          </w:p>
        </w:tc>
        <w:tc>
          <w:tcPr>
            <w:tcW w:w="729" w:type="dxa"/>
            <w:hideMark/>
          </w:tcPr>
          <w:p w14:paraId="0D0DA38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POR CAMBIOS OCASIONADOS POR AJUSTES EN LA EJECUCIÓN NO PREVISTOS</w:t>
            </w:r>
          </w:p>
        </w:tc>
        <w:tc>
          <w:tcPr>
            <w:tcW w:w="536" w:type="dxa"/>
            <w:hideMark/>
          </w:tcPr>
          <w:p w14:paraId="5F4658A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28C4529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0EA0523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377F54D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FINANCIERO</w:t>
            </w:r>
          </w:p>
        </w:tc>
        <w:tc>
          <w:tcPr>
            <w:tcW w:w="780" w:type="dxa"/>
            <w:hideMark/>
          </w:tcPr>
          <w:p w14:paraId="2AE6607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VARIACIÓN EN LAS UTILIDADES ESPERADAS Y/O PÉRDIDAS</w:t>
            </w:r>
          </w:p>
        </w:tc>
        <w:tc>
          <w:tcPr>
            <w:tcW w:w="753" w:type="dxa"/>
            <w:hideMark/>
          </w:tcPr>
          <w:p w14:paraId="630ED2E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(SE </w:t>
            </w:r>
            <w:proofErr w:type="gramStart"/>
            <w:r w:rsidRPr="00C20318">
              <w:rPr>
                <w:rFonts w:ascii="Century Gothic" w:hAnsi="Century Gothic" w:cs="Arial"/>
                <w:color w:val="000000"/>
                <w:sz w:val="10"/>
                <w:szCs w:val="10"/>
                <w:lang w:eastAsia="es-ES_tradnl"/>
              </w:rPr>
              <w:t>TRANSFIERE  AL</w:t>
            </w:r>
            <w:proofErr w:type="gramEnd"/>
            <w:r w:rsidRPr="00C20318">
              <w:rPr>
                <w:rFonts w:ascii="Century Gothic" w:hAnsi="Century Gothic" w:cs="Arial"/>
                <w:color w:val="000000"/>
                <w:sz w:val="10"/>
                <w:szCs w:val="10"/>
                <w:lang w:eastAsia="es-ES_tradnl"/>
              </w:rPr>
              <w:t xml:space="preserve"> CONTRATISTA) HASTA CUANTO NO LESIONE LA ESTABILIDAD FINANCIERA DEL CONTRATISTA   HASTA GENERAR PÉRDIDAS EN CUANTO LA NORMATIVIDAD PROTEGE AL CONTRATISTA DE PÉRDIDAS A NIVEL CONTRACTUAL. </w:t>
            </w:r>
          </w:p>
        </w:tc>
        <w:tc>
          <w:tcPr>
            <w:tcW w:w="568" w:type="dxa"/>
            <w:hideMark/>
          </w:tcPr>
          <w:p w14:paraId="4ABE9BF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475" w:type="dxa"/>
            <w:hideMark/>
          </w:tcPr>
          <w:p w14:paraId="0D71888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579069C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1, 1</w:t>
            </w:r>
          </w:p>
        </w:tc>
        <w:tc>
          <w:tcPr>
            <w:tcW w:w="612" w:type="dxa"/>
            <w:hideMark/>
          </w:tcPr>
          <w:p w14:paraId="5A37E2D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2.848.491,28 </w:t>
            </w:r>
          </w:p>
        </w:tc>
        <w:tc>
          <w:tcPr>
            <w:tcW w:w="650" w:type="dxa"/>
            <w:hideMark/>
          </w:tcPr>
          <w:p w14:paraId="2D065E9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0,63%</w:t>
            </w:r>
          </w:p>
        </w:tc>
        <w:tc>
          <w:tcPr>
            <w:tcW w:w="544" w:type="dxa"/>
            <w:hideMark/>
          </w:tcPr>
          <w:p w14:paraId="6867DD2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739C55F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4F9AF06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060542B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12DD08C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44A75B4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6366164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5E7166F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3F876B3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4BF63411" w14:textId="77777777" w:rsidTr="00C20318">
        <w:trPr>
          <w:trHeight w:val="1340"/>
        </w:trPr>
        <w:tc>
          <w:tcPr>
            <w:tcW w:w="421" w:type="dxa"/>
            <w:noWrap/>
            <w:hideMark/>
          </w:tcPr>
          <w:p w14:paraId="473ABDC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lastRenderedPageBreak/>
              <w:t>12</w:t>
            </w:r>
          </w:p>
        </w:tc>
        <w:tc>
          <w:tcPr>
            <w:tcW w:w="729" w:type="dxa"/>
            <w:hideMark/>
          </w:tcPr>
          <w:p w14:paraId="33903A1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CAPACIDAD FINANCIERA DEL CONTRATISTA</w:t>
            </w:r>
          </w:p>
        </w:tc>
        <w:tc>
          <w:tcPr>
            <w:tcW w:w="536" w:type="dxa"/>
            <w:hideMark/>
          </w:tcPr>
          <w:p w14:paraId="3F123FC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3A26907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747FE0E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68E4751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FINANCIERO</w:t>
            </w:r>
          </w:p>
        </w:tc>
        <w:tc>
          <w:tcPr>
            <w:tcW w:w="780" w:type="dxa"/>
            <w:hideMark/>
          </w:tcPr>
          <w:p w14:paraId="1F6D6FA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FALTA DE LIQUIDEZ DEL CONTRATISTA, ASOCIADA PROBLEMAS DE FINANCIEROS PROPIOS DEL MISMO</w:t>
            </w:r>
          </w:p>
        </w:tc>
        <w:tc>
          <w:tcPr>
            <w:tcW w:w="753" w:type="dxa"/>
            <w:hideMark/>
          </w:tcPr>
          <w:p w14:paraId="4460B07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RETRASOS, SUSPENSIONES QUE DERIVAN EN MAYOR COSTOS ADMINISTRATIVOS, Y RIESGOS ASOCIADOS INTERÉS DE DEUDA A PROVEEDORES Y TRABAJADORES (SE </w:t>
            </w:r>
            <w:proofErr w:type="gramStart"/>
            <w:r w:rsidRPr="00C20318">
              <w:rPr>
                <w:rFonts w:ascii="Century Gothic" w:hAnsi="Century Gothic" w:cs="Arial"/>
                <w:color w:val="000000"/>
                <w:sz w:val="10"/>
                <w:szCs w:val="10"/>
                <w:lang w:eastAsia="es-ES_tradnl"/>
              </w:rPr>
              <w:t>TRANSFIERE  AL</w:t>
            </w:r>
            <w:proofErr w:type="gramEnd"/>
            <w:r w:rsidRPr="00C20318">
              <w:rPr>
                <w:rFonts w:ascii="Century Gothic" w:hAnsi="Century Gothic" w:cs="Arial"/>
                <w:color w:val="000000"/>
                <w:sz w:val="10"/>
                <w:szCs w:val="10"/>
                <w:lang w:eastAsia="es-ES_tradnl"/>
              </w:rPr>
              <w:t xml:space="preserve"> CONTRATISTA) DEBIDO A EL MISMO ES RESPONSABLE DEL ADECUADO MANEJO DE CAPITAL DE OBRA</w:t>
            </w:r>
          </w:p>
        </w:tc>
        <w:tc>
          <w:tcPr>
            <w:tcW w:w="568" w:type="dxa"/>
            <w:hideMark/>
          </w:tcPr>
          <w:p w14:paraId="4C5E561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475" w:type="dxa"/>
            <w:hideMark/>
          </w:tcPr>
          <w:p w14:paraId="5A19852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2016DA8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1, 1</w:t>
            </w:r>
          </w:p>
        </w:tc>
        <w:tc>
          <w:tcPr>
            <w:tcW w:w="612" w:type="dxa"/>
            <w:hideMark/>
          </w:tcPr>
          <w:p w14:paraId="27C9417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2.848.491,28 </w:t>
            </w:r>
          </w:p>
        </w:tc>
        <w:tc>
          <w:tcPr>
            <w:tcW w:w="650" w:type="dxa"/>
            <w:hideMark/>
          </w:tcPr>
          <w:p w14:paraId="6EE100F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0,63%</w:t>
            </w:r>
          </w:p>
        </w:tc>
        <w:tc>
          <w:tcPr>
            <w:tcW w:w="544" w:type="dxa"/>
            <w:hideMark/>
          </w:tcPr>
          <w:p w14:paraId="48EFE1C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35B61A9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2625DCC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1593AFA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5DC6B96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2BC3FB3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188A23F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06915A5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1142D51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1DC64568" w14:textId="77777777" w:rsidTr="00C20318">
        <w:trPr>
          <w:trHeight w:val="1340"/>
        </w:trPr>
        <w:tc>
          <w:tcPr>
            <w:tcW w:w="421" w:type="dxa"/>
            <w:noWrap/>
            <w:hideMark/>
          </w:tcPr>
          <w:p w14:paraId="3F38400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13</w:t>
            </w:r>
          </w:p>
        </w:tc>
        <w:tc>
          <w:tcPr>
            <w:tcW w:w="729" w:type="dxa"/>
            <w:hideMark/>
          </w:tcPr>
          <w:p w14:paraId="6BFDFE5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FENÓMENOS NATURALES QUE INCIDENTE EN LA EJECUCIÓN</w:t>
            </w:r>
          </w:p>
        </w:tc>
        <w:tc>
          <w:tcPr>
            <w:tcW w:w="536" w:type="dxa"/>
            <w:hideMark/>
          </w:tcPr>
          <w:p w14:paraId="0A129A8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06C022B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EXTERNO</w:t>
            </w:r>
          </w:p>
        </w:tc>
        <w:tc>
          <w:tcPr>
            <w:tcW w:w="587" w:type="dxa"/>
            <w:hideMark/>
          </w:tcPr>
          <w:p w14:paraId="140073E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706AA82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NATURALES</w:t>
            </w:r>
          </w:p>
        </w:tc>
        <w:tc>
          <w:tcPr>
            <w:tcW w:w="780" w:type="dxa"/>
            <w:hideMark/>
          </w:tcPr>
          <w:p w14:paraId="46C1AE1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INUNDACIONES, DERRUMBES, DESASTRES ECOLÓGICOS Y/O LLUVIAS INTENSAS (VERIFICABLES Y CUANTIFICABLES). EFECTOS NATURALES NO IMPUTABLES AL DESARROLLO DE LAS OBRAS</w:t>
            </w:r>
          </w:p>
        </w:tc>
        <w:tc>
          <w:tcPr>
            <w:tcW w:w="753" w:type="dxa"/>
            <w:hideMark/>
          </w:tcPr>
          <w:p w14:paraId="0F40A4F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TALES EVENTOS GENERAN RETRASOS Y/O SUSPENSIONES EN EL CRONOGRAMA DE OBRA, PERDIDAS DE ÍNDOLE ADMINISTRATIVOS Y PÉRDIDAS DE MATERIALES, EQUIPOS Y POSIBLES DETRIMENTOS EN LA INFRAESTRUCTURA DE OBRA CONSTRUIDA.    (</w:t>
            </w:r>
            <w:r w:rsidRPr="00C20318">
              <w:rPr>
                <w:rFonts w:ascii="Century Gothic" w:hAnsi="Century Gothic" w:cs="Arial"/>
                <w:i/>
                <w:iCs/>
                <w:color w:val="000000"/>
                <w:sz w:val="10"/>
                <w:szCs w:val="10"/>
                <w:lang w:eastAsia="es-ES_tradnl"/>
              </w:rPr>
              <w:t>LAS PÉRDIDAS SE TRANSFIEREN A AMBAS PARTE POR TRATARSE DE EVENTOS IMPREVISIBLES QUE AFECTARÍAN EL EQUILIBRIO DEL CONTRATO.)</w:t>
            </w:r>
          </w:p>
        </w:tc>
        <w:tc>
          <w:tcPr>
            <w:tcW w:w="568" w:type="dxa"/>
            <w:hideMark/>
          </w:tcPr>
          <w:p w14:paraId="3E054DD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475" w:type="dxa"/>
            <w:hideMark/>
          </w:tcPr>
          <w:p w14:paraId="6C879D6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29AE34A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1, 1</w:t>
            </w:r>
          </w:p>
        </w:tc>
        <w:tc>
          <w:tcPr>
            <w:tcW w:w="612" w:type="dxa"/>
            <w:hideMark/>
          </w:tcPr>
          <w:p w14:paraId="1B2712B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2.848.491,28 </w:t>
            </w:r>
          </w:p>
        </w:tc>
        <w:tc>
          <w:tcPr>
            <w:tcW w:w="650" w:type="dxa"/>
            <w:hideMark/>
          </w:tcPr>
          <w:p w14:paraId="450679E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0,63%</w:t>
            </w:r>
          </w:p>
        </w:tc>
        <w:tc>
          <w:tcPr>
            <w:tcW w:w="544" w:type="dxa"/>
            <w:hideMark/>
          </w:tcPr>
          <w:p w14:paraId="247EA6C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29D1B5D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CONTRATANTE/ CONTRATISTA</w:t>
            </w:r>
          </w:p>
        </w:tc>
        <w:tc>
          <w:tcPr>
            <w:tcW w:w="535" w:type="dxa"/>
            <w:hideMark/>
          </w:tcPr>
          <w:p w14:paraId="6D39580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4BF433A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726F7A5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39B55D8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7DD2030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7CCBB8A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2E76C73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12E24F71" w14:textId="77777777" w:rsidTr="00C20318">
        <w:trPr>
          <w:trHeight w:val="1340"/>
        </w:trPr>
        <w:tc>
          <w:tcPr>
            <w:tcW w:w="421" w:type="dxa"/>
            <w:noWrap/>
            <w:hideMark/>
          </w:tcPr>
          <w:p w14:paraId="5A615CE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14</w:t>
            </w:r>
          </w:p>
        </w:tc>
        <w:tc>
          <w:tcPr>
            <w:tcW w:w="729" w:type="dxa"/>
            <w:hideMark/>
          </w:tcPr>
          <w:p w14:paraId="6435031F"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TRAMITES EN GESTIÓN DE LICENCIA </w:t>
            </w:r>
          </w:p>
        </w:tc>
        <w:tc>
          <w:tcPr>
            <w:tcW w:w="536" w:type="dxa"/>
            <w:hideMark/>
          </w:tcPr>
          <w:p w14:paraId="60C59ED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186C85F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165CFE80"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089C21D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AMBIENTALES</w:t>
            </w:r>
          </w:p>
        </w:tc>
        <w:tc>
          <w:tcPr>
            <w:tcW w:w="780" w:type="dxa"/>
            <w:hideMark/>
          </w:tcPr>
          <w:p w14:paraId="68CABE1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DE NO INICIO DE LAS OBRAS Y/O PARÁLISIS DE LA MISMAS, POR DEMORAS EN EL TRÁMITE DE LOS PERMISOS Y/O LICENCIAS POR CAUSAS IMPUTABLES AL CONTRATISTA</w:t>
            </w:r>
          </w:p>
        </w:tc>
        <w:tc>
          <w:tcPr>
            <w:tcW w:w="753" w:type="dxa"/>
            <w:hideMark/>
          </w:tcPr>
          <w:p w14:paraId="44EB972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DEMORA EN LA OBTENCIÓN DE LICENCIAS AMBIENTALES POR INADECUADA PRESENTACIÓN DE SOPORTES Y ESTUDIOS, EN EL CASO EN QUE EL CONTRATISTA SEA QUIEN OBTENGA LA LICENCIA. (COMPARTIDA ENTRE EL </w:t>
            </w:r>
            <w:r w:rsidRPr="00C20318">
              <w:rPr>
                <w:rFonts w:ascii="Century Gothic" w:hAnsi="Century Gothic" w:cs="Arial"/>
                <w:color w:val="000000"/>
                <w:sz w:val="10"/>
                <w:szCs w:val="10"/>
                <w:lang w:eastAsia="es-ES_tradnl"/>
              </w:rPr>
              <w:lastRenderedPageBreak/>
              <w:t>MUNICIPIO Y EL CONTRATISTA DESIGNADO PARA EL TRÁMITE DE LICENCIA O PERMISOS)</w:t>
            </w:r>
          </w:p>
        </w:tc>
        <w:tc>
          <w:tcPr>
            <w:tcW w:w="568" w:type="dxa"/>
            <w:hideMark/>
          </w:tcPr>
          <w:p w14:paraId="1D11A2D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lastRenderedPageBreak/>
              <w:t>2</w:t>
            </w:r>
          </w:p>
        </w:tc>
        <w:tc>
          <w:tcPr>
            <w:tcW w:w="475" w:type="dxa"/>
            <w:hideMark/>
          </w:tcPr>
          <w:p w14:paraId="48A18B8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w:t>
            </w:r>
          </w:p>
        </w:tc>
        <w:tc>
          <w:tcPr>
            <w:tcW w:w="598" w:type="dxa"/>
            <w:hideMark/>
          </w:tcPr>
          <w:p w14:paraId="7873211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2, 1</w:t>
            </w:r>
          </w:p>
        </w:tc>
        <w:tc>
          <w:tcPr>
            <w:tcW w:w="612" w:type="dxa"/>
            <w:hideMark/>
          </w:tcPr>
          <w:p w14:paraId="73CA82F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5.179.353,36 </w:t>
            </w:r>
          </w:p>
        </w:tc>
        <w:tc>
          <w:tcPr>
            <w:tcW w:w="650" w:type="dxa"/>
            <w:hideMark/>
          </w:tcPr>
          <w:p w14:paraId="3B10374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1,14%</w:t>
            </w:r>
          </w:p>
        </w:tc>
        <w:tc>
          <w:tcPr>
            <w:tcW w:w="544" w:type="dxa"/>
            <w:hideMark/>
          </w:tcPr>
          <w:p w14:paraId="78261D2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693A148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7432361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4552E3C8"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17F9433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5093E9A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557845C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0219920D"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2A04BD6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r w:rsidR="00C20318" w:rsidRPr="00C20318" w14:paraId="4A66664B" w14:textId="77777777" w:rsidTr="00C20318">
        <w:trPr>
          <w:trHeight w:val="1340"/>
        </w:trPr>
        <w:tc>
          <w:tcPr>
            <w:tcW w:w="421" w:type="dxa"/>
            <w:noWrap/>
            <w:hideMark/>
          </w:tcPr>
          <w:p w14:paraId="0F0E6FA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15</w:t>
            </w:r>
          </w:p>
        </w:tc>
        <w:tc>
          <w:tcPr>
            <w:tcW w:w="729" w:type="dxa"/>
            <w:hideMark/>
          </w:tcPr>
          <w:p w14:paraId="37DF209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SANCIONES POR EL NO CUMPLIMIENTO DE LAS NORMAS AMBIENTALES</w:t>
            </w:r>
          </w:p>
        </w:tc>
        <w:tc>
          <w:tcPr>
            <w:tcW w:w="536" w:type="dxa"/>
            <w:hideMark/>
          </w:tcPr>
          <w:p w14:paraId="05F1BAB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GENERAL</w:t>
            </w:r>
          </w:p>
        </w:tc>
        <w:tc>
          <w:tcPr>
            <w:tcW w:w="464" w:type="dxa"/>
            <w:hideMark/>
          </w:tcPr>
          <w:p w14:paraId="2594B60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INTERNO</w:t>
            </w:r>
          </w:p>
        </w:tc>
        <w:tc>
          <w:tcPr>
            <w:tcW w:w="587" w:type="dxa"/>
            <w:hideMark/>
          </w:tcPr>
          <w:p w14:paraId="55170EB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EJECUCCION</w:t>
            </w:r>
          </w:p>
        </w:tc>
        <w:tc>
          <w:tcPr>
            <w:tcW w:w="687" w:type="dxa"/>
            <w:hideMark/>
          </w:tcPr>
          <w:p w14:paraId="709B7D55"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AMBIENTALES</w:t>
            </w:r>
          </w:p>
        </w:tc>
        <w:tc>
          <w:tcPr>
            <w:tcW w:w="780" w:type="dxa"/>
            <w:hideMark/>
          </w:tcPr>
          <w:p w14:paraId="1824085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INCUMPLIMIENTO DE MEDIDAS ESTABLECIDAS POR LAS ENTIDADES AMBIENTALES POR OTORGAMIENTO DE PERMISOS.</w:t>
            </w:r>
          </w:p>
        </w:tc>
        <w:tc>
          <w:tcPr>
            <w:tcW w:w="753" w:type="dxa"/>
            <w:hideMark/>
          </w:tcPr>
          <w:p w14:paraId="396098C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SANCIONES Y COMPENSACIONES DERIVADAS DE LA EJECUCIÓN DEL CONTRATO</w:t>
            </w:r>
          </w:p>
        </w:tc>
        <w:tc>
          <w:tcPr>
            <w:tcW w:w="568" w:type="dxa"/>
            <w:hideMark/>
          </w:tcPr>
          <w:p w14:paraId="49D27D83"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w:t>
            </w:r>
          </w:p>
        </w:tc>
        <w:tc>
          <w:tcPr>
            <w:tcW w:w="475" w:type="dxa"/>
            <w:hideMark/>
          </w:tcPr>
          <w:p w14:paraId="2B25D54C"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w:t>
            </w:r>
          </w:p>
        </w:tc>
        <w:tc>
          <w:tcPr>
            <w:tcW w:w="598" w:type="dxa"/>
            <w:hideMark/>
          </w:tcPr>
          <w:p w14:paraId="65747BC1"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2, 2</w:t>
            </w:r>
          </w:p>
        </w:tc>
        <w:tc>
          <w:tcPr>
            <w:tcW w:w="612" w:type="dxa"/>
            <w:hideMark/>
          </w:tcPr>
          <w:p w14:paraId="40BC8F5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 xml:space="preserve">          12.140.473,22 </w:t>
            </w:r>
          </w:p>
        </w:tc>
        <w:tc>
          <w:tcPr>
            <w:tcW w:w="650" w:type="dxa"/>
            <w:hideMark/>
          </w:tcPr>
          <w:p w14:paraId="1CD358C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2,66%</w:t>
            </w:r>
          </w:p>
        </w:tc>
        <w:tc>
          <w:tcPr>
            <w:tcW w:w="544" w:type="dxa"/>
            <w:hideMark/>
          </w:tcPr>
          <w:p w14:paraId="73021DF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RIESGO BAJO</w:t>
            </w:r>
          </w:p>
        </w:tc>
        <w:tc>
          <w:tcPr>
            <w:tcW w:w="645" w:type="dxa"/>
            <w:hideMark/>
          </w:tcPr>
          <w:p w14:paraId="33446BBE"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CONTRATISTA</w:t>
            </w:r>
          </w:p>
        </w:tc>
        <w:tc>
          <w:tcPr>
            <w:tcW w:w="535" w:type="dxa"/>
            <w:hideMark/>
          </w:tcPr>
          <w:p w14:paraId="62E617C9"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SI</w:t>
            </w:r>
          </w:p>
        </w:tc>
        <w:tc>
          <w:tcPr>
            <w:tcW w:w="594" w:type="dxa"/>
            <w:hideMark/>
          </w:tcPr>
          <w:p w14:paraId="302B69F7"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SUPERVISOR DEL CONTRATO</w:t>
            </w:r>
          </w:p>
        </w:tc>
        <w:tc>
          <w:tcPr>
            <w:tcW w:w="594" w:type="dxa"/>
            <w:hideMark/>
          </w:tcPr>
          <w:p w14:paraId="0C8CEA72"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SUSCRIPCIÓN DEL ACTA DE INICIO</w:t>
            </w:r>
          </w:p>
        </w:tc>
        <w:tc>
          <w:tcPr>
            <w:tcW w:w="646" w:type="dxa"/>
            <w:hideMark/>
          </w:tcPr>
          <w:p w14:paraId="150AD65B"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FECHA DE LA CERTIFICACIÓN DE RECIBO A SATISFACCIÓN DE LA OBRA</w:t>
            </w:r>
          </w:p>
        </w:tc>
        <w:tc>
          <w:tcPr>
            <w:tcW w:w="694" w:type="dxa"/>
            <w:hideMark/>
          </w:tcPr>
          <w:p w14:paraId="5BCE2AB6"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VERIFICACIÓN DE LA REFORMA TRIBUTARIAS VIGENTES</w:t>
            </w:r>
          </w:p>
        </w:tc>
        <w:tc>
          <w:tcPr>
            <w:tcW w:w="630" w:type="dxa"/>
            <w:hideMark/>
          </w:tcPr>
          <w:p w14:paraId="0F49772A"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DIAS EJECUCIÓN CONTRATO</w:t>
            </w:r>
          </w:p>
        </w:tc>
        <w:tc>
          <w:tcPr>
            <w:tcW w:w="945" w:type="dxa"/>
            <w:hideMark/>
          </w:tcPr>
          <w:p w14:paraId="106D4114" w14:textId="77777777" w:rsidR="00C20318" w:rsidRPr="00C20318" w:rsidRDefault="00C20318" w:rsidP="00F814AF">
            <w:pPr>
              <w:rPr>
                <w:rFonts w:ascii="Century Gothic" w:hAnsi="Century Gothic" w:cs="Arial"/>
                <w:color w:val="000000"/>
                <w:sz w:val="10"/>
                <w:szCs w:val="10"/>
                <w:lang w:eastAsia="es-ES_tradnl"/>
              </w:rPr>
            </w:pPr>
            <w:r w:rsidRPr="00C20318">
              <w:rPr>
                <w:rFonts w:ascii="Century Gothic" w:hAnsi="Century Gothic" w:cs="Arial"/>
                <w:color w:val="000000"/>
                <w:sz w:val="10"/>
                <w:szCs w:val="10"/>
                <w:lang w:eastAsia="es-ES_tradnl"/>
              </w:rPr>
              <w:t>TRANSFERIR</w:t>
            </w:r>
          </w:p>
        </w:tc>
      </w:tr>
    </w:tbl>
    <w:p w14:paraId="742A94E9" w14:textId="77777777" w:rsidR="00C20318" w:rsidRPr="00A74F66" w:rsidRDefault="00C20318" w:rsidP="00241A33">
      <w:pPr>
        <w:tabs>
          <w:tab w:val="left" w:pos="6690"/>
        </w:tabs>
        <w:spacing w:after="100" w:afterAutospacing="1"/>
        <w:rPr>
          <w:rFonts w:ascii="Century Gothic" w:eastAsia="SimSun" w:hAnsi="Century Gothic" w:cs="Arial"/>
          <w:kern w:val="3"/>
          <w:sz w:val="21"/>
          <w:szCs w:val="21"/>
          <w:lang w:eastAsia="zh-CN" w:bidi="hi-IN"/>
        </w:rPr>
      </w:pPr>
    </w:p>
    <w:sectPr w:rsidR="00C20318" w:rsidRPr="00A74F66" w:rsidSect="00C20318">
      <w:pgSz w:w="18720" w:h="12240" w:orient="landscape" w:code="14"/>
      <w:pgMar w:top="1304" w:right="1134" w:bottom="1134"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2DE2" w14:textId="77777777" w:rsidR="003B1686" w:rsidRDefault="003B1686" w:rsidP="00091875">
      <w:pPr>
        <w:spacing w:line="240" w:lineRule="auto"/>
      </w:pPr>
      <w:r>
        <w:separator/>
      </w:r>
    </w:p>
  </w:endnote>
  <w:endnote w:type="continuationSeparator" w:id="0">
    <w:p w14:paraId="5FFD0BE5" w14:textId="77777777" w:rsidR="003B1686" w:rsidRDefault="003B1686" w:rsidP="00091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8"/>
        <w:szCs w:val="18"/>
      </w:rPr>
      <w:id w:val="552671562"/>
      <w:docPartObj>
        <w:docPartGallery w:val="Page Numbers (Bottom of Page)"/>
        <w:docPartUnique/>
      </w:docPartObj>
    </w:sdtPr>
    <w:sdtEndPr/>
    <w:sdtContent>
      <w:p w14:paraId="5899CA35" w14:textId="77777777" w:rsidR="007A656B" w:rsidRPr="002F36D9" w:rsidRDefault="007A656B">
        <w:pPr>
          <w:pStyle w:val="Piedepgina"/>
          <w:jc w:val="right"/>
          <w:rPr>
            <w:rFonts w:ascii="Verdana" w:hAnsi="Verdana"/>
            <w:sz w:val="18"/>
            <w:szCs w:val="18"/>
          </w:rPr>
        </w:pPr>
      </w:p>
      <w:p w14:paraId="56B6126B" w14:textId="76EFC3A2" w:rsidR="00091875" w:rsidRPr="002F36D9" w:rsidRDefault="002F36D9">
        <w:pPr>
          <w:pStyle w:val="Piedepgina"/>
          <w:jc w:val="right"/>
          <w:rPr>
            <w:rFonts w:ascii="Verdana" w:hAnsi="Verdana"/>
            <w:sz w:val="18"/>
            <w:szCs w:val="18"/>
          </w:rPr>
        </w:pPr>
        <w:r w:rsidRPr="002F36D9">
          <w:rPr>
            <w:rFonts w:ascii="Verdana" w:hAnsi="Verdana"/>
            <w:sz w:val="18"/>
            <w:szCs w:val="18"/>
          </w:rPr>
          <w:t xml:space="preserve">Versión: 1 de </w:t>
        </w:r>
        <w:r w:rsidR="00773673">
          <w:rPr>
            <w:rFonts w:ascii="Verdana" w:hAnsi="Verdana"/>
            <w:sz w:val="18"/>
            <w:szCs w:val="18"/>
          </w:rPr>
          <w:t>21</w:t>
        </w:r>
        <w:r w:rsidRPr="002F36D9">
          <w:rPr>
            <w:rFonts w:ascii="Verdana" w:hAnsi="Verdana"/>
            <w:sz w:val="18"/>
            <w:szCs w:val="18"/>
          </w:rPr>
          <w:t xml:space="preserve"> de </w:t>
        </w:r>
        <w:r w:rsidR="00773673">
          <w:rPr>
            <w:rFonts w:ascii="Verdana" w:hAnsi="Verdana"/>
            <w:sz w:val="18"/>
            <w:szCs w:val="18"/>
          </w:rPr>
          <w:t>agosto</w:t>
        </w:r>
        <w:r w:rsidRPr="002F36D9">
          <w:rPr>
            <w:rFonts w:ascii="Verdana" w:hAnsi="Verdana"/>
            <w:sz w:val="18"/>
            <w:szCs w:val="18"/>
          </w:rPr>
          <w:t xml:space="preserve"> de 2025</w:t>
        </w:r>
      </w:p>
    </w:sdtContent>
  </w:sdt>
  <w:p w14:paraId="21ED77E0" w14:textId="77777777" w:rsidR="00091875" w:rsidRDefault="000918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BA74A" w14:textId="77777777" w:rsidR="003B1686" w:rsidRDefault="003B1686" w:rsidP="00091875">
      <w:pPr>
        <w:spacing w:line="240" w:lineRule="auto"/>
      </w:pPr>
      <w:r>
        <w:separator/>
      </w:r>
    </w:p>
  </w:footnote>
  <w:footnote w:type="continuationSeparator" w:id="0">
    <w:p w14:paraId="4A227145" w14:textId="77777777" w:rsidR="003B1686" w:rsidRDefault="003B1686" w:rsidP="00091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86AD" w14:textId="77777777" w:rsidR="00FE1A44" w:rsidRPr="00FE1A44" w:rsidRDefault="00FE1A44" w:rsidP="00FE1A44">
    <w:pPr>
      <w:pStyle w:val="Encabezado"/>
      <w:jc w:val="center"/>
      <w:rPr>
        <w:rFonts w:ascii="Verdana" w:hAnsi="Verdana" w:cs="Arial"/>
        <w:b/>
        <w:sz w:val="20"/>
        <w:szCs w:val="20"/>
      </w:rPr>
    </w:pPr>
    <w:r w:rsidRPr="00FE1A44">
      <w:rPr>
        <w:rFonts w:ascii="Verdana" w:hAnsi="Verdana" w:cs="Arial"/>
        <w:b/>
        <w:sz w:val="20"/>
        <w:szCs w:val="20"/>
      </w:rPr>
      <w:t>MATRIZ 3 - RIESGOS</w:t>
    </w:r>
  </w:p>
  <w:p w14:paraId="5A1B4C24" w14:textId="401574FD" w:rsidR="749F36F0" w:rsidRPr="00FE1A44" w:rsidRDefault="00FE1A44" w:rsidP="00FE1A44">
    <w:pPr>
      <w:pStyle w:val="Encabezado"/>
      <w:jc w:val="center"/>
      <w:rPr>
        <w:rFonts w:ascii="Verdana" w:hAnsi="Verdana"/>
        <w:sz w:val="28"/>
        <w:szCs w:val="28"/>
      </w:rPr>
    </w:pPr>
    <w:r w:rsidRPr="00FE1A44">
      <w:rPr>
        <w:rFonts w:ascii="Verdana" w:hAnsi="Verdana" w:cs="Arial"/>
        <w:b/>
        <w:bCs/>
        <w:sz w:val="20"/>
        <w:szCs w:val="20"/>
      </w:rPr>
      <w:t>SELECCIÓN ABREVIADA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asciiTheme="minorHAnsi" w:hAnsiTheme="minorHAnsi" w:hint="default"/>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5503C7"/>
    <w:multiLevelType w:val="hybridMultilevel"/>
    <w:tmpl w:val="57BAF402"/>
    <w:lvl w:ilvl="0" w:tplc="FFA4FD70">
      <w:start w:val="4"/>
      <w:numFmt w:val="bullet"/>
      <w:lvlText w:val="–"/>
      <w:lvlJc w:val="left"/>
      <w:pPr>
        <w:ind w:left="720" w:hanging="360"/>
      </w:pPr>
      <w:rPr>
        <w:rFonts w:ascii="Calibri" w:eastAsiaTheme="minorHAnsi" w:hAnsi="Calibri"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ascii="Calibri" w:eastAsiaTheme="minorHAnsi" w:hAnsi="Calibri" w:cs="Century Gothic"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965C9C"/>
    <w:multiLevelType w:val="multilevel"/>
    <w:tmpl w:val="1374CE74"/>
    <w:lvl w:ilvl="0">
      <w:start w:val="11"/>
      <w:numFmt w:val="decimal"/>
      <w:lvlText w:val="%1"/>
      <w:lvlJc w:val="left"/>
      <w:pPr>
        <w:ind w:left="480" w:hanging="480"/>
      </w:pPr>
      <w:rPr>
        <w:rFonts w:cs="Times New Roman" w:hint="default"/>
      </w:rPr>
    </w:lvl>
    <w:lvl w:ilvl="1">
      <w:start w:val="19"/>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07B164B"/>
    <w:multiLevelType w:val="hybridMultilevel"/>
    <w:tmpl w:val="E4E0E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3B53AF"/>
    <w:multiLevelType w:val="hybridMultilevel"/>
    <w:tmpl w:val="4D08C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556FE1"/>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92322D"/>
    <w:multiLevelType w:val="hybridMultilevel"/>
    <w:tmpl w:val="A302360C"/>
    <w:lvl w:ilvl="0" w:tplc="CF929F1C">
      <w:start w:val="33"/>
      <w:numFmt w:val="bullet"/>
      <w:lvlText w:val=""/>
      <w:lvlJc w:val="left"/>
      <w:pPr>
        <w:ind w:left="720" w:hanging="360"/>
      </w:pPr>
      <w:rPr>
        <w:rFonts w:ascii="Calibri" w:eastAsiaTheme="minorHAnsi" w:hAnsi="Calibri" w:cs="Century Gothi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7CF1D84"/>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384C18"/>
    <w:multiLevelType w:val="hybridMultilevel"/>
    <w:tmpl w:val="FEB4E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3"/>
  </w:num>
  <w:num w:numId="11">
    <w:abstractNumId w:val="1"/>
  </w:num>
  <w:num w:numId="12">
    <w:abstractNumId w:val="21"/>
  </w:num>
  <w:num w:numId="13">
    <w:abstractNumId w:val="29"/>
  </w:num>
  <w:num w:numId="14">
    <w:abstractNumId w:val="14"/>
  </w:num>
  <w:num w:numId="15">
    <w:abstractNumId w:val="16"/>
  </w:num>
  <w:num w:numId="16">
    <w:abstractNumId w:val="0"/>
  </w:num>
  <w:num w:numId="17">
    <w:abstractNumId w:val="2"/>
  </w:num>
  <w:num w:numId="18">
    <w:abstractNumId w:val="9"/>
  </w:num>
  <w:num w:numId="19">
    <w:abstractNumId w:val="4"/>
  </w:num>
  <w:num w:numId="20">
    <w:abstractNumId w:val="18"/>
  </w:num>
  <w:num w:numId="21">
    <w:abstractNumId w:val="7"/>
  </w:num>
  <w:num w:numId="22">
    <w:abstractNumId w:val="27"/>
  </w:num>
  <w:num w:numId="23">
    <w:abstractNumId w:val="11"/>
  </w:num>
  <w:num w:numId="24">
    <w:abstractNumId w:val="12"/>
  </w:num>
  <w:num w:numId="25">
    <w:abstractNumId w:val="5"/>
  </w:num>
  <w:num w:numId="26">
    <w:abstractNumId w:val="17"/>
  </w:num>
  <w:num w:numId="27">
    <w:abstractNumId w:val="15"/>
  </w:num>
  <w:num w:numId="28">
    <w:abstractNumId w:val="10"/>
  </w:num>
  <w:num w:numId="29">
    <w:abstractNumId w:val="25"/>
  </w:num>
  <w:num w:numId="30">
    <w:abstractNumId w:val="26"/>
  </w:num>
  <w:num w:numId="31">
    <w:abstractNumId w:val="24"/>
  </w:num>
  <w:num w:numId="32">
    <w:abstractNumId w:val="13"/>
  </w:num>
  <w:num w:numId="33">
    <w:abstractNumId w:val="23"/>
  </w:num>
  <w:num w:numId="34">
    <w:abstractNumId w:val="8"/>
  </w:num>
  <w:num w:numId="35">
    <w:abstractNumId w:val="22"/>
  </w:num>
  <w:num w:numId="36">
    <w:abstractNumId w:val="28"/>
  </w:num>
  <w:num w:numId="37">
    <w:abstractNumId w:val="2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F8"/>
    <w:rsid w:val="00010A03"/>
    <w:rsid w:val="000150D7"/>
    <w:rsid w:val="0008460C"/>
    <w:rsid w:val="00091875"/>
    <w:rsid w:val="000A2F3B"/>
    <w:rsid w:val="000C2AAE"/>
    <w:rsid w:val="000F7C80"/>
    <w:rsid w:val="00101037"/>
    <w:rsid w:val="00103B17"/>
    <w:rsid w:val="00106362"/>
    <w:rsid w:val="001246B3"/>
    <w:rsid w:val="00136C78"/>
    <w:rsid w:val="001477DE"/>
    <w:rsid w:val="0015719E"/>
    <w:rsid w:val="001D1F23"/>
    <w:rsid w:val="001E7630"/>
    <w:rsid w:val="00241A33"/>
    <w:rsid w:val="00277255"/>
    <w:rsid w:val="002D1AFB"/>
    <w:rsid w:val="002E30D7"/>
    <w:rsid w:val="002F36D9"/>
    <w:rsid w:val="00324251"/>
    <w:rsid w:val="003322F8"/>
    <w:rsid w:val="003558EC"/>
    <w:rsid w:val="00374B32"/>
    <w:rsid w:val="00375454"/>
    <w:rsid w:val="0039239D"/>
    <w:rsid w:val="003B1686"/>
    <w:rsid w:val="003B7338"/>
    <w:rsid w:val="003E331F"/>
    <w:rsid w:val="003E4428"/>
    <w:rsid w:val="003F50E3"/>
    <w:rsid w:val="004338C5"/>
    <w:rsid w:val="004D7C35"/>
    <w:rsid w:val="00507FAA"/>
    <w:rsid w:val="00511F46"/>
    <w:rsid w:val="00513343"/>
    <w:rsid w:val="00540CF2"/>
    <w:rsid w:val="00545461"/>
    <w:rsid w:val="005752CE"/>
    <w:rsid w:val="0058222E"/>
    <w:rsid w:val="005E5030"/>
    <w:rsid w:val="00602088"/>
    <w:rsid w:val="00624AC2"/>
    <w:rsid w:val="00686C25"/>
    <w:rsid w:val="00697703"/>
    <w:rsid w:val="006A3288"/>
    <w:rsid w:val="006B4FEE"/>
    <w:rsid w:val="006E6D9B"/>
    <w:rsid w:val="007115DA"/>
    <w:rsid w:val="00721886"/>
    <w:rsid w:val="00762556"/>
    <w:rsid w:val="0076567A"/>
    <w:rsid w:val="00773673"/>
    <w:rsid w:val="0077727E"/>
    <w:rsid w:val="007A656B"/>
    <w:rsid w:val="007B33E6"/>
    <w:rsid w:val="007C5B18"/>
    <w:rsid w:val="007C702A"/>
    <w:rsid w:val="007F427D"/>
    <w:rsid w:val="00805ECB"/>
    <w:rsid w:val="00815604"/>
    <w:rsid w:val="00833F3B"/>
    <w:rsid w:val="00841B5A"/>
    <w:rsid w:val="008537E3"/>
    <w:rsid w:val="0085653A"/>
    <w:rsid w:val="0085672F"/>
    <w:rsid w:val="00874392"/>
    <w:rsid w:val="00885039"/>
    <w:rsid w:val="008E39CA"/>
    <w:rsid w:val="009321E7"/>
    <w:rsid w:val="009771F1"/>
    <w:rsid w:val="009E77AD"/>
    <w:rsid w:val="009F3A90"/>
    <w:rsid w:val="00A1437D"/>
    <w:rsid w:val="00A411F2"/>
    <w:rsid w:val="00A74F66"/>
    <w:rsid w:val="00A802EF"/>
    <w:rsid w:val="00A9107A"/>
    <w:rsid w:val="00AB5F8B"/>
    <w:rsid w:val="00AE2ECB"/>
    <w:rsid w:val="00B26E25"/>
    <w:rsid w:val="00B544AB"/>
    <w:rsid w:val="00B60C9E"/>
    <w:rsid w:val="00B76DAD"/>
    <w:rsid w:val="00B773A4"/>
    <w:rsid w:val="00B81B1F"/>
    <w:rsid w:val="00B83621"/>
    <w:rsid w:val="00B92158"/>
    <w:rsid w:val="00B94790"/>
    <w:rsid w:val="00BA3870"/>
    <w:rsid w:val="00BC48AE"/>
    <w:rsid w:val="00C20318"/>
    <w:rsid w:val="00C53FEB"/>
    <w:rsid w:val="00C61BDB"/>
    <w:rsid w:val="00C71F76"/>
    <w:rsid w:val="00CB2A6B"/>
    <w:rsid w:val="00CB7D17"/>
    <w:rsid w:val="00D13765"/>
    <w:rsid w:val="00D2740F"/>
    <w:rsid w:val="00D61CBF"/>
    <w:rsid w:val="00D70D7B"/>
    <w:rsid w:val="00D86ECC"/>
    <w:rsid w:val="00DA2321"/>
    <w:rsid w:val="00DD4300"/>
    <w:rsid w:val="00DF421A"/>
    <w:rsid w:val="00E20BE5"/>
    <w:rsid w:val="00E56873"/>
    <w:rsid w:val="00F6022F"/>
    <w:rsid w:val="00F63350"/>
    <w:rsid w:val="00F77C04"/>
    <w:rsid w:val="00FD3BD6"/>
    <w:rsid w:val="00FE1A44"/>
    <w:rsid w:val="187604FC"/>
    <w:rsid w:val="749F36F0"/>
    <w:rsid w:val="74BEAEB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4A344"/>
  <w15:docId w15:val="{C854FC15-5CC4-4CDC-B155-22CBAE4C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eastAsiaTheme="majorEastAsia" w:hAnsi="Calibri Light"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eastAsiaTheme="majorEastAsia" w:hAnsi="Calibri Light"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eastAsiaTheme="majorEastAsia" w:hAnsi="Calibri"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eastAsiaTheme="majorEastAsia" w:hAnsi="Calibri"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eastAsiaTheme="majorEastAsia" w:hAnsi="Calibri"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eastAsiaTheme="majorEastAsia" w:hAnsi="Calibr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eastAsiaTheme="majorEastAsia" w:hAnsi="Calibr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foNmerado">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customStyle="1" w:styleId="Ttulo1Car">
    <w:name w:val="Título 1 Car"/>
    <w:basedOn w:val="Fuentedeprrafopredeter"/>
    <w:link w:val="Ttulo1"/>
    <w:uiPriority w:val="9"/>
    <w:rsid w:val="00A1437D"/>
    <w:rPr>
      <w:rFonts w:eastAsiaTheme="majorEastAsia" w:cstheme="majorBidi"/>
      <w:b/>
      <w:bCs/>
      <w:color w:val="17365D" w:themeColor="text2" w:themeShade="BF"/>
      <w:sz w:val="28"/>
    </w:rPr>
  </w:style>
  <w:style w:type="character" w:customStyle="1" w:styleId="Ttulo2Car">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customStyle="1" w:styleId="Ttulo3Car">
    <w:name w:val="Título 3 Car"/>
    <w:basedOn w:val="Fuentedeprrafopredeter"/>
    <w:link w:val="Ttulo3"/>
    <w:uiPriority w:val="9"/>
    <w:rsid w:val="00874392"/>
    <w:rPr>
      <w:rFonts w:ascii="Calibri Light" w:eastAsiaTheme="majorEastAsia" w:hAnsi="Calibri Light" w:cstheme="majorBidi"/>
      <w:bCs/>
      <w:color w:val="17365D" w:themeColor="text2" w:themeShade="BF"/>
      <w:sz w:val="26"/>
      <w:szCs w:val="26"/>
      <w:u w:val="single"/>
    </w:rPr>
  </w:style>
  <w:style w:type="character" w:customStyle="1" w:styleId="Ttulo4Car">
    <w:name w:val="Título 4 Car"/>
    <w:basedOn w:val="Fuentedeprrafopredeter"/>
    <w:link w:val="Ttulo4"/>
    <w:uiPriority w:val="9"/>
    <w:rsid w:val="00874392"/>
    <w:rPr>
      <w:rFonts w:ascii="Calibri Light" w:eastAsiaTheme="majorEastAsia" w:hAnsi="Calibri Light" w:cstheme="majorBidi"/>
      <w:bCs/>
      <w:i/>
      <w:iCs/>
      <w:color w:val="17365D" w:themeColor="text2" w:themeShade="BF"/>
      <w:sz w:val="24"/>
      <w:u w:val="single"/>
    </w:rPr>
  </w:style>
  <w:style w:type="character" w:customStyle="1" w:styleId="Ttulo5Car">
    <w:name w:val="Título 5 Car"/>
    <w:basedOn w:val="Fuentedeprrafopredeter"/>
    <w:link w:val="Ttulo5"/>
    <w:uiPriority w:val="9"/>
    <w:rsid w:val="00874392"/>
    <w:rPr>
      <w:rFonts w:ascii="Calibri" w:eastAsiaTheme="majorEastAsia" w:hAnsi="Calibri" w:cstheme="majorBidi"/>
      <w:color w:val="243F60" w:themeColor="accent1" w:themeShade="7F"/>
    </w:rPr>
  </w:style>
  <w:style w:type="character" w:customStyle="1" w:styleId="Ttulo6Car">
    <w:name w:val="Título 6 Car"/>
    <w:basedOn w:val="Fuentedeprrafopredeter"/>
    <w:link w:val="Ttulo6"/>
    <w:uiPriority w:val="9"/>
    <w:rsid w:val="00874392"/>
    <w:rPr>
      <w:rFonts w:ascii="Calibri" w:eastAsiaTheme="majorEastAsia" w:hAnsi="Calibri" w:cstheme="majorBidi"/>
      <w:i/>
      <w:iCs/>
      <w:color w:val="243F60" w:themeColor="accent1" w:themeShade="7F"/>
    </w:rPr>
  </w:style>
  <w:style w:type="character" w:customStyle="1" w:styleId="Ttulo7Car">
    <w:name w:val="Título 7 Car"/>
    <w:basedOn w:val="Fuentedeprrafopredeter"/>
    <w:link w:val="Ttulo7"/>
    <w:uiPriority w:val="9"/>
    <w:rsid w:val="00874392"/>
    <w:rPr>
      <w:rFonts w:ascii="Calibri" w:eastAsiaTheme="majorEastAsia" w:hAnsi="Calibri" w:cstheme="majorBidi"/>
      <w:i/>
      <w:iCs/>
      <w:color w:val="404040" w:themeColor="text1" w:themeTint="BF"/>
    </w:rPr>
  </w:style>
  <w:style w:type="character" w:customStyle="1" w:styleId="Ttulo8Car">
    <w:name w:val="Título 8 Car"/>
    <w:basedOn w:val="Fuentedeprrafopredeter"/>
    <w:link w:val="Ttulo8"/>
    <w:uiPriority w:val="9"/>
    <w:semiHidden/>
    <w:rsid w:val="00874392"/>
    <w:rPr>
      <w:rFonts w:ascii="Calibri" w:eastAsiaTheme="majorEastAsia" w:hAnsi="Calibri" w:cstheme="majorBidi"/>
      <w:color w:val="404040" w:themeColor="text1" w:themeTint="BF"/>
      <w:sz w:val="20"/>
      <w:szCs w:val="20"/>
    </w:rPr>
  </w:style>
  <w:style w:type="character" w:customStyle="1" w:styleId="Ttulo9Car">
    <w:name w:val="Título 9 Car"/>
    <w:basedOn w:val="Fuentedeprrafopredeter"/>
    <w:link w:val="Ttulo9"/>
    <w:uiPriority w:val="9"/>
    <w:semiHidden/>
    <w:rsid w:val="00874392"/>
    <w:rPr>
      <w:rFonts w:ascii="Calibri" w:eastAsiaTheme="majorEastAsia" w:hAnsi="Calibri"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Ttulo">
    <w:name w:val="Title"/>
    <w:basedOn w:val="Normal"/>
    <w:next w:val="ParrafoNmerado"/>
    <w:link w:val="TtuloCar"/>
    <w:uiPriority w:val="10"/>
    <w:qFormat/>
    <w:rsid w:val="00874392"/>
    <w:pPr>
      <w:pBdr>
        <w:bottom w:val="single" w:sz="12" w:space="4" w:color="17365D" w:themeColor="text2" w:themeShade="BF"/>
      </w:pBdr>
      <w:spacing w:after="300" w:line="240" w:lineRule="auto"/>
    </w:pPr>
    <w:rPr>
      <w:rFonts w:ascii="Calibri Light" w:eastAsiaTheme="majorEastAsia" w:hAnsi="Calibri Light" w:cstheme="majorBidi"/>
      <w:b/>
      <w:color w:val="17365D" w:themeColor="text2" w:themeShade="BF"/>
      <w:spacing w:val="5"/>
      <w:kern w:val="28"/>
      <w:sz w:val="52"/>
      <w:szCs w:val="52"/>
    </w:rPr>
  </w:style>
  <w:style w:type="character" w:customStyle="1" w:styleId="TtuloCar">
    <w:name w:val="Título Car"/>
    <w:basedOn w:val="Fuentedeprrafopredeter"/>
    <w:link w:val="Ttulo"/>
    <w:uiPriority w:val="10"/>
    <w:rsid w:val="00874392"/>
    <w:rPr>
      <w:rFonts w:ascii="Calibri Light" w:eastAsiaTheme="majorEastAsia" w:hAnsi="Calibri Light"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74392"/>
    <w:rPr>
      <w:rFonts w:asciiTheme="majorHAnsi" w:eastAsiaTheme="majorEastAsia" w:hAnsiTheme="majorHAnsi" w:cstheme="majorBidi"/>
      <w:i/>
      <w:iCs/>
      <w:color w:val="4F81BD" w:themeColor="accent1"/>
      <w:spacing w:val="15"/>
      <w:sz w:val="24"/>
      <w:szCs w:val="24"/>
    </w:rPr>
  </w:style>
  <w:style w:type="character" w:styleId="Textoennegrita">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customStyle="1" w:styleId="SinespaciadoCar">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customStyle="1" w:styleId="CitaCar">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TDC">
    <w:name w:val="TOC Heading"/>
    <w:basedOn w:val="Ttulo1"/>
    <w:next w:val="Normal"/>
    <w:uiPriority w:val="39"/>
    <w:unhideWhenUsed/>
    <w:qFormat/>
    <w:rsid w:val="00874392"/>
    <w:pPr>
      <w:spacing w:before="480"/>
      <w:ind w:left="0" w:firstLine="0"/>
      <w:outlineLvl w:val="9"/>
    </w:pPr>
  </w:style>
  <w:style w:type="paragraph" w:customStyle="1" w:styleId="Default">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customStyle="1" w:styleId="EncabezadoCar">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91875"/>
  </w:style>
  <w:style w:type="paragraph" w:customStyle="1" w:styleId="yiv0520071016msonormal">
    <w:name w:val="yiv0520071016msonormal"/>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0520071016msolistparagraph">
    <w:name w:val="yiv0520071016msolistparagraph"/>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4330210419msonormal">
    <w:name w:val="yiv4330210419msonormal"/>
    <w:basedOn w:val="Normal"/>
    <w:rsid w:val="00010A03"/>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815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semiHidden/>
    <w:unhideWhenUsed/>
    <w:rsid w:val="00511F4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customStyle="1" w:styleId="AsuntodelcomentarioCar">
    <w:name w:val="Asunto del comentario Car"/>
    <w:basedOn w:val="TextocomentarioCar"/>
    <w:link w:val="Asuntodelcomentario"/>
    <w:uiPriority w:val="99"/>
    <w:semiHidden/>
    <w:rsid w:val="00511F46"/>
    <w:rPr>
      <w:b/>
      <w:bCs/>
      <w:sz w:val="20"/>
      <w:szCs w:val="20"/>
    </w:rPr>
  </w:style>
  <w:style w:type="paragraph" w:styleId="Revisin">
    <w:name w:val="Revision"/>
    <w:hidden/>
    <w:uiPriority w:val="99"/>
    <w:semiHidden/>
    <w:rsid w:val="00B60C9E"/>
    <w:pPr>
      <w:spacing w:after="0" w:line="240" w:lineRule="auto"/>
    </w:pPr>
  </w:style>
  <w:style w:type="table" w:customStyle="1" w:styleId="Cuadrculadetablaclara1">
    <w:name w:val="Cuadrícula de tabla clara1"/>
    <w:basedOn w:val="Tablanormal"/>
    <w:next w:val="Tablaconcuadrculaclara"/>
    <w:uiPriority w:val="99"/>
    <w:rsid w:val="007A656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A656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7624584">
      <w:bodyDiv w:val="1"/>
      <w:marLeft w:val="0"/>
      <w:marRight w:val="0"/>
      <w:marTop w:val="0"/>
      <w:marBottom w:val="0"/>
      <w:divBdr>
        <w:top w:val="none" w:sz="0" w:space="0" w:color="auto"/>
        <w:left w:val="none" w:sz="0" w:space="0" w:color="auto"/>
        <w:bottom w:val="none" w:sz="0" w:space="0" w:color="auto"/>
        <w:right w:val="none" w:sz="0" w:space="0" w:color="auto"/>
      </w:divBdr>
    </w:div>
    <w:div w:id="1126507935">
      <w:bodyDiv w:val="1"/>
      <w:marLeft w:val="0"/>
      <w:marRight w:val="0"/>
      <w:marTop w:val="0"/>
      <w:marBottom w:val="0"/>
      <w:divBdr>
        <w:top w:val="none" w:sz="0" w:space="0" w:color="auto"/>
        <w:left w:val="none" w:sz="0" w:space="0" w:color="auto"/>
        <w:bottom w:val="none" w:sz="0" w:space="0" w:color="auto"/>
        <w:right w:val="none" w:sz="0" w:space="0" w:color="auto"/>
      </w:divBdr>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2.xml><?xml version="1.0" encoding="utf-8"?>
<ds:datastoreItem xmlns:ds="http://schemas.openxmlformats.org/officeDocument/2006/customXml" ds:itemID="{2E0FDBF6-CFA6-48B8-BEB1-FF93D6470936}">
  <ds:schemaRefs>
    <ds:schemaRef ds:uri="http://schemas.openxmlformats.org/officeDocument/2006/bibliography"/>
  </ds:schemaRefs>
</ds:datastoreItem>
</file>

<file path=customXml/itemProps3.xml><?xml version="1.0" encoding="utf-8"?>
<ds:datastoreItem xmlns:ds="http://schemas.openxmlformats.org/officeDocument/2006/customXml" ds:itemID="{621A49B7-979B-4A9B-B3F4-86872F6A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1884</Words>
  <Characters>10367</Characters>
  <Application>Microsoft Office Word</Application>
  <DocSecurity>0</DocSecurity>
  <Lines>86</Lines>
  <Paragraphs>24</Paragraphs>
  <ScaleCrop>false</ScaleCrop>
  <Company>Hewlett-Packard Company</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Manuel</dc:creator>
  <cp:lastModifiedBy>ALEX JOSE PIANETTA MERCADO</cp:lastModifiedBy>
  <cp:revision>11</cp:revision>
  <cp:lastPrinted>2020-11-13T23:50:00Z</cp:lastPrinted>
  <dcterms:created xsi:type="dcterms:W3CDTF">2022-08-01T21:31:00Z</dcterms:created>
  <dcterms:modified xsi:type="dcterms:W3CDTF">2026-02-26T16:32:00Z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